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0DC152E6" w:rsidR="0047408E" w:rsidRPr="007431F6" w:rsidRDefault="0047408E" w:rsidP="00227C69">
      <w:pPr>
        <w:pStyle w:val="Header"/>
        <w:tabs>
          <w:tab w:val="right" w:pos="9639"/>
        </w:tabs>
        <w:overflowPunct w:val="0"/>
        <w:autoSpaceDE w:val="0"/>
        <w:autoSpaceDN w:val="0"/>
        <w:adjustRightInd w:val="0"/>
        <w:jc w:val="both"/>
        <w:textAlignment w:val="baseline"/>
        <w:rPr>
          <w:b w:val="0"/>
          <w:bCs/>
          <w:sz w:val="28"/>
          <w:szCs w:val="24"/>
          <w:lang w:eastAsia="ja-JP"/>
        </w:rPr>
      </w:pPr>
      <w:r w:rsidRPr="007431F6">
        <w:rPr>
          <w:bCs/>
          <w:sz w:val="28"/>
          <w:szCs w:val="24"/>
          <w:lang w:eastAsia="ja-JP"/>
        </w:rPr>
        <w:t>3GPP T</w:t>
      </w:r>
      <w:bookmarkStart w:id="0" w:name="_Ref452454252"/>
      <w:bookmarkEnd w:id="0"/>
      <w:r w:rsidR="003B2828" w:rsidRPr="007431F6">
        <w:rPr>
          <w:bCs/>
          <w:sz w:val="28"/>
          <w:szCs w:val="24"/>
          <w:lang w:eastAsia="ja-JP"/>
        </w:rPr>
        <w:t>SG-RAN WG1</w:t>
      </w:r>
      <w:r w:rsidRPr="007431F6">
        <w:rPr>
          <w:bCs/>
          <w:sz w:val="28"/>
          <w:szCs w:val="24"/>
          <w:lang w:eastAsia="ja-JP"/>
        </w:rPr>
        <w:t xml:space="preserve"> </w:t>
      </w:r>
      <w:r w:rsidR="00C6264B" w:rsidRPr="007431F6">
        <w:rPr>
          <w:bCs/>
          <w:sz w:val="28"/>
          <w:szCs w:val="24"/>
          <w:lang w:eastAsia="ja-JP"/>
        </w:rPr>
        <w:t>#</w:t>
      </w:r>
      <w:r w:rsidR="003B2828" w:rsidRPr="007431F6">
        <w:rPr>
          <w:bCs/>
          <w:sz w:val="28"/>
          <w:szCs w:val="24"/>
          <w:lang w:eastAsia="ja-JP"/>
        </w:rPr>
        <w:t>9</w:t>
      </w:r>
      <w:r w:rsidR="003C5A72" w:rsidRPr="007431F6">
        <w:rPr>
          <w:bCs/>
          <w:sz w:val="28"/>
          <w:szCs w:val="24"/>
          <w:lang w:eastAsia="ja-JP"/>
        </w:rPr>
        <w:t>5</w:t>
      </w:r>
      <w:r w:rsidRPr="007431F6">
        <w:rPr>
          <w:bCs/>
          <w:sz w:val="28"/>
          <w:szCs w:val="24"/>
          <w:lang w:eastAsia="ja-JP"/>
        </w:rPr>
        <w:tab/>
      </w:r>
      <w:r w:rsidR="001A460C" w:rsidRPr="007431F6">
        <w:rPr>
          <w:bCs/>
          <w:sz w:val="28"/>
          <w:szCs w:val="24"/>
          <w:lang w:eastAsia="ja-JP"/>
        </w:rPr>
        <w:t>R</w:t>
      </w:r>
      <w:r w:rsidR="003B2828" w:rsidRPr="007431F6">
        <w:rPr>
          <w:bCs/>
          <w:sz w:val="28"/>
          <w:szCs w:val="24"/>
          <w:lang w:eastAsia="ja-JP"/>
        </w:rPr>
        <w:t>1</w:t>
      </w:r>
      <w:r w:rsidR="001A460C" w:rsidRPr="007431F6">
        <w:rPr>
          <w:bCs/>
          <w:sz w:val="28"/>
          <w:szCs w:val="24"/>
          <w:lang w:eastAsia="ja-JP"/>
        </w:rPr>
        <w:t>-18</w:t>
      </w:r>
      <w:r w:rsidR="00527A3C">
        <w:rPr>
          <w:bCs/>
          <w:sz w:val="28"/>
          <w:szCs w:val="24"/>
          <w:lang w:eastAsia="ja-JP"/>
        </w:rPr>
        <w:t>12361</w:t>
      </w:r>
    </w:p>
    <w:p w14:paraId="29CDF947" w14:textId="5793F091" w:rsidR="0047408E" w:rsidRPr="007431F6" w:rsidRDefault="003C5A72" w:rsidP="00227C69">
      <w:pPr>
        <w:pStyle w:val="Header"/>
        <w:tabs>
          <w:tab w:val="right" w:pos="9639"/>
        </w:tabs>
        <w:overflowPunct w:val="0"/>
        <w:autoSpaceDE w:val="0"/>
        <w:autoSpaceDN w:val="0"/>
        <w:adjustRightInd w:val="0"/>
        <w:spacing w:after="240"/>
        <w:jc w:val="both"/>
        <w:textAlignment w:val="baseline"/>
        <w:rPr>
          <w:bCs/>
          <w:sz w:val="28"/>
          <w:szCs w:val="24"/>
          <w:lang w:eastAsia="ja-JP"/>
        </w:rPr>
      </w:pPr>
      <w:r w:rsidRPr="007431F6">
        <w:rPr>
          <w:bCs/>
          <w:sz w:val="28"/>
          <w:szCs w:val="24"/>
          <w:lang w:eastAsia="ja-JP"/>
        </w:rPr>
        <w:t>Spokane</w:t>
      </w:r>
      <w:r w:rsidR="00B3474F" w:rsidRPr="007431F6">
        <w:rPr>
          <w:bCs/>
          <w:sz w:val="28"/>
          <w:szCs w:val="24"/>
          <w:lang w:eastAsia="ja-JP"/>
        </w:rPr>
        <w:t xml:space="preserve">, </w:t>
      </w:r>
      <w:r w:rsidRPr="007431F6">
        <w:rPr>
          <w:bCs/>
          <w:sz w:val="28"/>
          <w:szCs w:val="24"/>
          <w:lang w:eastAsia="ja-JP"/>
        </w:rPr>
        <w:t>USA</w:t>
      </w:r>
      <w:r w:rsidR="00B3474F" w:rsidRPr="007431F6">
        <w:rPr>
          <w:bCs/>
          <w:sz w:val="28"/>
          <w:szCs w:val="24"/>
          <w:lang w:eastAsia="ja-JP"/>
        </w:rPr>
        <w:t xml:space="preserve">, </w:t>
      </w:r>
      <w:r w:rsidRPr="007431F6">
        <w:rPr>
          <w:bCs/>
          <w:sz w:val="28"/>
          <w:szCs w:val="24"/>
          <w:lang w:eastAsia="ja-JP"/>
        </w:rPr>
        <w:t>November</w:t>
      </w:r>
      <w:r w:rsidR="00B3474F" w:rsidRPr="007431F6">
        <w:rPr>
          <w:bCs/>
          <w:sz w:val="28"/>
          <w:szCs w:val="24"/>
          <w:lang w:eastAsia="ja-JP"/>
        </w:rPr>
        <w:t xml:space="preserve"> </w:t>
      </w:r>
      <w:r w:rsidRPr="007431F6">
        <w:rPr>
          <w:bCs/>
          <w:sz w:val="28"/>
          <w:szCs w:val="24"/>
          <w:lang w:eastAsia="ja-JP"/>
        </w:rPr>
        <w:t>12</w:t>
      </w:r>
      <w:r w:rsidR="00B3474F" w:rsidRPr="007431F6">
        <w:rPr>
          <w:bCs/>
          <w:sz w:val="28"/>
          <w:szCs w:val="24"/>
          <w:vertAlign w:val="superscript"/>
          <w:lang w:eastAsia="ja-JP"/>
        </w:rPr>
        <w:t>th</w:t>
      </w:r>
      <w:r w:rsidR="00B3474F" w:rsidRPr="007431F6">
        <w:rPr>
          <w:bCs/>
          <w:sz w:val="28"/>
          <w:szCs w:val="24"/>
          <w:lang w:eastAsia="ja-JP"/>
        </w:rPr>
        <w:t xml:space="preserve"> – 1</w:t>
      </w:r>
      <w:r w:rsidRPr="007431F6">
        <w:rPr>
          <w:bCs/>
          <w:sz w:val="28"/>
          <w:szCs w:val="24"/>
          <w:lang w:eastAsia="ja-JP"/>
        </w:rPr>
        <w:t>6</w:t>
      </w:r>
      <w:r w:rsidR="00B3474F" w:rsidRPr="007431F6">
        <w:rPr>
          <w:bCs/>
          <w:sz w:val="28"/>
          <w:szCs w:val="24"/>
          <w:vertAlign w:val="superscript"/>
          <w:lang w:eastAsia="ja-JP"/>
        </w:rPr>
        <w:t>th</w:t>
      </w:r>
      <w:r w:rsidR="00B3474F" w:rsidRPr="007431F6">
        <w:rPr>
          <w:bCs/>
          <w:sz w:val="28"/>
          <w:szCs w:val="24"/>
          <w:lang w:eastAsia="ja-JP"/>
        </w:rPr>
        <w:t>, 2018</w:t>
      </w:r>
      <w:r w:rsidR="00B55AED" w:rsidRPr="007431F6">
        <w:rPr>
          <w:bCs/>
          <w:sz w:val="28"/>
          <w:szCs w:val="24"/>
          <w:lang w:eastAsia="ja-JP"/>
        </w:rPr>
        <w:tab/>
      </w:r>
    </w:p>
    <w:p w14:paraId="19110ACE" w14:textId="529D40B5" w:rsidR="0047408E" w:rsidRPr="007431F6" w:rsidRDefault="0047408E" w:rsidP="00227C69">
      <w:pPr>
        <w:pStyle w:val="CRCoverPage"/>
        <w:spacing w:after="0"/>
        <w:ind w:left="1988" w:hanging="1988"/>
        <w:jc w:val="both"/>
        <w:rPr>
          <w:b/>
          <w:noProof/>
          <w:sz w:val="28"/>
        </w:rPr>
      </w:pPr>
      <w:r w:rsidRPr="007431F6">
        <w:rPr>
          <w:b/>
          <w:noProof/>
          <w:sz w:val="28"/>
        </w:rPr>
        <w:t>Agenda Item:</w:t>
      </w:r>
      <w:r w:rsidRPr="007431F6">
        <w:rPr>
          <w:b/>
          <w:noProof/>
          <w:sz w:val="28"/>
        </w:rPr>
        <w:tab/>
      </w:r>
      <w:r w:rsidR="00B3474F" w:rsidRPr="007431F6">
        <w:rPr>
          <w:b/>
          <w:noProof/>
          <w:sz w:val="28"/>
        </w:rPr>
        <w:t>7.2.9.2.1</w:t>
      </w:r>
    </w:p>
    <w:p w14:paraId="3DD82F11" w14:textId="6995EEBA" w:rsidR="0047408E" w:rsidRPr="007431F6" w:rsidRDefault="007B7B5C" w:rsidP="00227C69">
      <w:pPr>
        <w:pStyle w:val="CRCoverPage"/>
        <w:spacing w:after="0"/>
        <w:ind w:left="1988" w:hanging="1988"/>
        <w:jc w:val="both"/>
        <w:rPr>
          <w:b/>
          <w:noProof/>
          <w:sz w:val="28"/>
        </w:rPr>
      </w:pPr>
      <w:r>
        <w:rPr>
          <w:b/>
          <w:noProof/>
          <w:sz w:val="28"/>
        </w:rPr>
        <w:t xml:space="preserve">Souce: </w:t>
      </w:r>
      <w:r w:rsidR="0047408E" w:rsidRPr="007431F6">
        <w:rPr>
          <w:b/>
          <w:noProof/>
          <w:sz w:val="28"/>
        </w:rPr>
        <w:t>MediaTek Inc.</w:t>
      </w:r>
    </w:p>
    <w:p w14:paraId="3CE85CBF" w14:textId="30BF73A1" w:rsidR="004518A9" w:rsidRPr="007431F6" w:rsidRDefault="0047408E" w:rsidP="00227C69">
      <w:pPr>
        <w:spacing w:after="0"/>
        <w:rPr>
          <w:b/>
          <w:noProof/>
          <w:sz w:val="28"/>
        </w:rPr>
      </w:pPr>
      <w:bookmarkStart w:id="1" w:name="OLE_LINK1"/>
      <w:bookmarkStart w:id="2" w:name="OLE_LINK2"/>
      <w:r w:rsidRPr="007431F6">
        <w:rPr>
          <w:b/>
          <w:noProof/>
          <w:sz w:val="28"/>
        </w:rPr>
        <w:t>Title:</w:t>
      </w:r>
      <w:r w:rsidRPr="007431F6">
        <w:rPr>
          <w:b/>
          <w:noProof/>
          <w:sz w:val="28"/>
        </w:rPr>
        <w:tab/>
      </w:r>
      <w:r w:rsidR="007431F6">
        <w:rPr>
          <w:b/>
          <w:noProof/>
          <w:sz w:val="28"/>
        </w:rPr>
        <w:t>Adaptation f</w:t>
      </w:r>
      <w:r w:rsidR="00765D65" w:rsidRPr="007431F6">
        <w:rPr>
          <w:b/>
          <w:noProof/>
          <w:sz w:val="28"/>
        </w:rPr>
        <w:t xml:space="preserve">ramework for UE </w:t>
      </w:r>
      <w:r w:rsidR="007431F6">
        <w:rPr>
          <w:b/>
          <w:noProof/>
          <w:sz w:val="28"/>
        </w:rPr>
        <w:t>p</w:t>
      </w:r>
      <w:r w:rsidR="00765D65" w:rsidRPr="007431F6">
        <w:rPr>
          <w:b/>
          <w:noProof/>
          <w:sz w:val="28"/>
        </w:rPr>
        <w:t xml:space="preserve">ower </w:t>
      </w:r>
      <w:r w:rsidR="007431F6">
        <w:rPr>
          <w:b/>
          <w:noProof/>
          <w:sz w:val="28"/>
        </w:rPr>
        <w:t>s</w:t>
      </w:r>
      <w:r w:rsidR="00765D65" w:rsidRPr="007431F6">
        <w:rPr>
          <w:b/>
          <w:noProof/>
          <w:sz w:val="28"/>
        </w:rPr>
        <w:t>aving</w:t>
      </w:r>
    </w:p>
    <w:p w14:paraId="73A3BB56" w14:textId="3F94910C" w:rsidR="0047408E" w:rsidRPr="007431F6" w:rsidRDefault="0047408E" w:rsidP="00227C69">
      <w:pPr>
        <w:pStyle w:val="CRCoverPage"/>
        <w:spacing w:after="0"/>
        <w:ind w:left="1988" w:hanging="1988"/>
        <w:jc w:val="both"/>
        <w:rPr>
          <w:b/>
          <w:noProof/>
          <w:sz w:val="28"/>
        </w:rPr>
      </w:pPr>
      <w:r w:rsidRPr="007431F6">
        <w:rPr>
          <w:b/>
          <w:noProof/>
          <w:sz w:val="28"/>
        </w:rPr>
        <w:t>Document for:</w:t>
      </w:r>
      <w:r w:rsidRPr="007431F6">
        <w:rPr>
          <w:b/>
          <w:noProof/>
          <w:sz w:val="28"/>
        </w:rPr>
        <w:tab/>
        <w:t>Discussion</w:t>
      </w:r>
      <w:bookmarkEnd w:id="1"/>
      <w:bookmarkEnd w:id="2"/>
      <w:r w:rsidR="00676475" w:rsidRPr="007431F6">
        <w:rPr>
          <w:b/>
          <w:noProof/>
          <w:sz w:val="28"/>
        </w:rPr>
        <w:t xml:space="preserve"> and decision</w:t>
      </w:r>
    </w:p>
    <w:p w14:paraId="6B56D2F7" w14:textId="3E56F1A5" w:rsidR="0047408E" w:rsidRPr="002000A7" w:rsidRDefault="0047408E" w:rsidP="006D4147">
      <w:pPr>
        <w:pStyle w:val="Heading1"/>
        <w:spacing w:after="120"/>
        <w:jc w:val="both"/>
        <w:rPr>
          <w:lang w:val="en-US" w:eastAsia="ko-KR"/>
        </w:rPr>
      </w:pPr>
      <w:bookmarkStart w:id="3" w:name="_Ref519244397"/>
      <w:r>
        <w:rPr>
          <w:lang w:val="en-US" w:eastAsia="ko-KR"/>
        </w:rPr>
        <w:t>1</w:t>
      </w:r>
      <w:r w:rsidR="00C87EE3">
        <w:rPr>
          <w:lang w:val="en-US" w:eastAsia="ko-KR"/>
        </w:rPr>
        <w:t>.</w:t>
      </w:r>
      <w:r>
        <w:rPr>
          <w:lang w:val="en-US" w:eastAsia="ko-KR"/>
        </w:rPr>
        <w:t xml:space="preserve"> </w:t>
      </w:r>
      <w:r w:rsidRPr="009D35B3">
        <w:rPr>
          <w:lang w:val="en-US" w:eastAsia="ko-KR"/>
        </w:rPr>
        <w:t>Introduction</w:t>
      </w:r>
      <w:bookmarkEnd w:id="3"/>
    </w:p>
    <w:p w14:paraId="266F61F4" w14:textId="7364E59A" w:rsidR="0018538F" w:rsidRPr="0018538F" w:rsidRDefault="006E2036" w:rsidP="006E2036">
      <w:pPr>
        <w:pStyle w:val="B1"/>
        <w:ind w:left="0" w:firstLine="0"/>
        <w:jc w:val="both"/>
        <w:rPr>
          <w:sz w:val="22"/>
        </w:rPr>
      </w:pPr>
      <w:r>
        <w:t xml:space="preserve">In this paper, we provide our views on the adaptation framework for UE power saving. The framework is built on two topics. The first is about how </w:t>
      </w:r>
      <w:r w:rsidR="007B737B">
        <w:t xml:space="preserve">to configure </w:t>
      </w:r>
      <w:r>
        <w:t>the parameters to be adapted</w:t>
      </w:r>
      <w:r w:rsidR="007B737B">
        <w:t>, which is discussed in Section 2. T</w:t>
      </w:r>
      <w:r>
        <w:t xml:space="preserve">he second </w:t>
      </w:r>
      <w:r w:rsidR="007B737B">
        <w:t xml:space="preserve">topic </w:t>
      </w:r>
      <w:r>
        <w:t>is on the trigger of adaptation</w:t>
      </w:r>
      <w:r w:rsidR="007B737B">
        <w:t>, which is addressed in Section 3</w:t>
      </w:r>
      <w:r>
        <w:t xml:space="preserve">. </w:t>
      </w:r>
      <w:r w:rsidR="007B737B">
        <w:t xml:space="preserve">In Section 4, we also express some opinions on the assistance information which can be provided by a UE. </w:t>
      </w:r>
      <w:r w:rsidR="001C1E4F">
        <w:t xml:space="preserve"> </w:t>
      </w:r>
      <w:r w:rsidR="00646552">
        <w:rPr>
          <w:sz w:val="22"/>
        </w:rPr>
        <w:t xml:space="preserve"> </w:t>
      </w:r>
    </w:p>
    <w:p w14:paraId="3AC10C50" w14:textId="0A287AEA" w:rsidR="005C149D" w:rsidRPr="00765D65" w:rsidRDefault="00291158" w:rsidP="006D4147">
      <w:pPr>
        <w:pStyle w:val="Heading1"/>
        <w:jc w:val="both"/>
        <w:rPr>
          <w:szCs w:val="36"/>
        </w:rPr>
      </w:pPr>
      <w:r w:rsidRPr="00765D65">
        <w:rPr>
          <w:szCs w:val="36"/>
        </w:rPr>
        <w:t>2</w:t>
      </w:r>
      <w:r w:rsidR="00765D65">
        <w:rPr>
          <w:szCs w:val="36"/>
        </w:rPr>
        <w:t>.</w:t>
      </w:r>
      <w:r w:rsidRPr="00765D65">
        <w:rPr>
          <w:szCs w:val="36"/>
        </w:rPr>
        <w:t xml:space="preserve"> </w:t>
      </w:r>
      <w:r w:rsidR="00765D65">
        <w:rPr>
          <w:szCs w:val="36"/>
        </w:rPr>
        <w:t>Configuration of adapted parameter sets</w:t>
      </w:r>
    </w:p>
    <w:p w14:paraId="45317824" w14:textId="74030FC3" w:rsidR="002E0AFE" w:rsidRDefault="009D1537" w:rsidP="00EE319F">
      <w:pPr>
        <w:pStyle w:val="B1"/>
        <w:ind w:left="0" w:firstLine="0"/>
        <w:jc w:val="both"/>
      </w:pPr>
      <w:r w:rsidRPr="009D1537">
        <w:t xml:space="preserve">In this section, </w:t>
      </w:r>
      <w:r>
        <w:t xml:space="preserve">we discuss the </w:t>
      </w:r>
      <w:r w:rsidRPr="001C1E4F">
        <w:t>configuration of parameters for adaptation. Two methods ar</w:t>
      </w:r>
      <w:r w:rsidR="009F3A1E" w:rsidRPr="001C1E4F">
        <w:t xml:space="preserve">e proposed. The first method is </w:t>
      </w:r>
      <w:r w:rsidR="002E0AFE" w:rsidRPr="001C1E4F">
        <w:t xml:space="preserve">given in Section 2.1, </w:t>
      </w:r>
      <w:r w:rsidRPr="001C1E4F">
        <w:t>based on the framework of BWP.</w:t>
      </w:r>
      <w:r w:rsidR="002E0AFE" w:rsidRPr="001C1E4F">
        <w:t xml:space="preserve"> As will be discussed in Section 2.1, </w:t>
      </w:r>
      <w:r w:rsidR="002D6301" w:rsidRPr="001C1E4F">
        <w:t>th</w:t>
      </w:r>
      <w:r w:rsidR="00030C14" w:rsidRPr="001C1E4F">
        <w:t>is</w:t>
      </w:r>
      <w:r w:rsidR="002D6301" w:rsidRPr="001C1E4F">
        <w:t xml:space="preserve"> way of </w:t>
      </w:r>
      <w:r w:rsidR="002E0AFE" w:rsidRPr="001C1E4F">
        <w:t xml:space="preserve">configuration </w:t>
      </w:r>
      <w:r w:rsidR="002D6301" w:rsidRPr="001C1E4F">
        <w:t>results in</w:t>
      </w:r>
      <w:r w:rsidR="002E0AFE" w:rsidRPr="001C1E4F">
        <w:t xml:space="preserve"> some disadvantages such as a long transition time</w:t>
      </w:r>
      <w:r w:rsidR="00030C14" w:rsidRPr="001C1E4F">
        <w:t xml:space="preserve"> during adaptation</w:t>
      </w:r>
      <w:r w:rsidR="002E0AFE" w:rsidRPr="001C1E4F">
        <w:t xml:space="preserve">. </w:t>
      </w:r>
      <w:r w:rsidR="009F3A1E" w:rsidRPr="001C1E4F">
        <w:t xml:space="preserve">As a </w:t>
      </w:r>
      <w:r w:rsidR="00030C14" w:rsidRPr="001C1E4F">
        <w:t xml:space="preserve">remedy </w:t>
      </w:r>
      <w:r w:rsidR="009F3A1E" w:rsidRPr="001C1E4F">
        <w:t xml:space="preserve">to </w:t>
      </w:r>
      <w:r w:rsidR="00030C14" w:rsidRPr="001C1E4F">
        <w:t>this shortcoming, i</w:t>
      </w:r>
      <w:r w:rsidR="002E0AFE" w:rsidRPr="001C1E4F">
        <w:t>n Section 2.2, a configuration</w:t>
      </w:r>
      <w:r w:rsidR="002D6301" w:rsidRPr="001C1E4F">
        <w:t xml:space="preserve"> method</w:t>
      </w:r>
      <w:r w:rsidR="002E0AFE" w:rsidRPr="001C1E4F">
        <w:t xml:space="preserve"> based on the combination of BWP and </w:t>
      </w:r>
      <w:r w:rsidR="002E0AFE" w:rsidRPr="00C778DD">
        <w:rPr>
          <w:rStyle w:val="Emphasis"/>
        </w:rPr>
        <w:t>power profile</w:t>
      </w:r>
      <w:r w:rsidR="002E0AFE" w:rsidRPr="001C1E4F">
        <w:t xml:space="preserve"> is introduced. The basic idea is partitioning </w:t>
      </w:r>
      <w:r w:rsidR="009F3A1E" w:rsidRPr="001C1E4F">
        <w:t>adapted</w:t>
      </w:r>
      <w:r w:rsidR="002E0AFE" w:rsidRPr="001C1E4F">
        <w:t xml:space="preserve"> parameters into two categories, </w:t>
      </w:r>
      <w:r w:rsidR="009F3A1E" w:rsidRPr="001C1E4F">
        <w:t>e.g.</w:t>
      </w:r>
      <w:r w:rsidR="002E0AFE" w:rsidRPr="001C1E4F">
        <w:t xml:space="preserve">, those with </w:t>
      </w:r>
      <w:r w:rsidR="009F3A1E" w:rsidRPr="001C1E4F">
        <w:t xml:space="preserve">a </w:t>
      </w:r>
      <w:r w:rsidR="002E0AFE" w:rsidRPr="001C1E4F">
        <w:t>long transition time</w:t>
      </w:r>
      <w:r w:rsidR="00E86D74" w:rsidRPr="001C1E4F">
        <w:t xml:space="preserve"> during adaptation</w:t>
      </w:r>
      <w:r w:rsidR="002E0AFE" w:rsidRPr="001C1E4F">
        <w:t xml:space="preserve"> and those not. </w:t>
      </w:r>
      <w:r w:rsidR="002D6301" w:rsidRPr="001C1E4F">
        <w:t>Parameters in the former and latter categories are configured</w:t>
      </w:r>
      <w:r w:rsidR="002D6301">
        <w:t xml:space="preserve"> in BWP and power profile, respectively. Details </w:t>
      </w:r>
      <w:r w:rsidR="00030C14">
        <w:t xml:space="preserve">of this method </w:t>
      </w:r>
      <w:r w:rsidR="002D6301">
        <w:t>will be elaborated in the section.</w:t>
      </w:r>
    </w:p>
    <w:p w14:paraId="4E0A6742" w14:textId="4B0F0133" w:rsidR="009378EE" w:rsidRPr="00E835F3" w:rsidRDefault="009378EE" w:rsidP="00E835F3">
      <w:pPr>
        <w:pStyle w:val="Heading2"/>
        <w:spacing w:before="240"/>
      </w:pPr>
      <w:r w:rsidRPr="00E835F3">
        <w:t>2.1 Based on BWP framework</w:t>
      </w:r>
    </w:p>
    <w:p w14:paraId="4CC46EFB" w14:textId="43B015B2" w:rsidR="00E86D74" w:rsidRDefault="00F009C8" w:rsidP="00EE319F">
      <w:pPr>
        <w:pStyle w:val="B1"/>
        <w:ind w:left="0" w:firstLine="0"/>
        <w:jc w:val="both"/>
        <w:rPr>
          <w:sz w:val="28"/>
          <w:szCs w:val="28"/>
        </w:rPr>
      </w:pPr>
      <w:r>
        <w:t>When it comes to the configuration of adapted parameters, it is important to</w:t>
      </w:r>
      <w:r w:rsidRPr="00F009C8">
        <w:t xml:space="preserve"> examin</w:t>
      </w:r>
      <w:r>
        <w:t>e</w:t>
      </w:r>
      <w:r w:rsidRPr="00F009C8">
        <w:t xml:space="preserve"> the relative energy contributions of different components to the average power consumption</w:t>
      </w:r>
      <w:r>
        <w:t>.</w:t>
      </w:r>
      <w:r w:rsidRPr="00F009C8">
        <w:t xml:space="preserve"> </w:t>
      </w:r>
      <w:r>
        <w:t xml:space="preserve">In so doing, </w:t>
      </w:r>
      <w:r w:rsidRPr="00F009C8">
        <w:t xml:space="preserve">it is possible to prioritise different power saving </w:t>
      </w:r>
      <w:r>
        <w:t>configuration</w:t>
      </w:r>
      <w:r w:rsidRPr="00F009C8">
        <w:t xml:space="preserve">, </w:t>
      </w:r>
      <w:r>
        <w:t>which</w:t>
      </w:r>
      <w:r w:rsidRPr="00F009C8">
        <w:t xml:space="preserve"> leads to recommendations on how these </w:t>
      </w:r>
      <w:r>
        <w:t>parameter</w:t>
      </w:r>
      <w:r w:rsidRPr="00F009C8">
        <w:t>s can be configured to give good UE power consumption while avoiding unnecessary constraints on network flexibility.</w:t>
      </w:r>
      <w:r>
        <w:t xml:space="preserve"> In a companion paper [1], it is shown r</w:t>
      </w:r>
      <w:r w:rsidRPr="00F009C8">
        <w:t>educ</w:t>
      </w:r>
      <w:r>
        <w:t>tion</w:t>
      </w:r>
      <w:r w:rsidRPr="00F009C8">
        <w:t xml:space="preserve"> </w:t>
      </w:r>
      <w:r>
        <w:t xml:space="preserve">of </w:t>
      </w:r>
      <w:r w:rsidRPr="00F009C8">
        <w:t>the bandwidth leads to substantial reductions in UE energy consumption.</w:t>
      </w:r>
      <w:r>
        <w:t xml:space="preserve"> Therefore, it is natural to consider the</w:t>
      </w:r>
      <w:r w:rsidR="00E86D74">
        <w:t xml:space="preserve"> configuration </w:t>
      </w:r>
      <w:r>
        <w:t>method</w:t>
      </w:r>
      <w:r w:rsidR="00E86D74">
        <w:t xml:space="preserve"> based on the framework of BWP. The cases of single cell and carrier aggregation are considered in Sections 2.1.1 and 2.1.2, respectively.</w:t>
      </w:r>
    </w:p>
    <w:p w14:paraId="4CFA5B7B" w14:textId="19ADD17A" w:rsidR="00B7791F" w:rsidRPr="00B7791F" w:rsidRDefault="00B7791F" w:rsidP="00E835F3">
      <w:pPr>
        <w:pStyle w:val="Heading3"/>
        <w:spacing w:before="240"/>
      </w:pPr>
      <w:r w:rsidRPr="00B7791F">
        <w:t>2.1.1 Single cell</w:t>
      </w:r>
    </w:p>
    <w:p w14:paraId="4584B6A4" w14:textId="53A18428" w:rsidR="009378EE" w:rsidRDefault="00DA3BA9" w:rsidP="00EE319F">
      <w:pPr>
        <w:pStyle w:val="B1"/>
        <w:ind w:left="0" w:firstLine="0"/>
        <w:jc w:val="both"/>
      </w:pPr>
      <w:r w:rsidRPr="001962E6">
        <w:t>Figure 1</w:t>
      </w:r>
      <w:r w:rsidR="00B7791F">
        <w:t xml:space="preserve"> </w:t>
      </w:r>
      <w:r w:rsidR="001962E6" w:rsidRPr="00E25978">
        <w:t>illustrates the parameter</w:t>
      </w:r>
      <w:r w:rsidR="00B7791F" w:rsidRPr="00E25978">
        <w:t xml:space="preserve"> </w:t>
      </w:r>
      <w:r w:rsidR="001962E6" w:rsidRPr="00E25978">
        <w:t xml:space="preserve">configuration based on BWP for </w:t>
      </w:r>
      <w:r w:rsidR="0013267B" w:rsidRPr="00E25978">
        <w:t xml:space="preserve">the </w:t>
      </w:r>
      <w:r w:rsidR="00B7791F" w:rsidRPr="00E25978">
        <w:t>case of single cell</w:t>
      </w:r>
      <w:r w:rsidRPr="00E25978">
        <w:t>. In the figure</w:t>
      </w:r>
      <w:r w:rsidR="002E0AFE" w:rsidRPr="00E25978">
        <w:t xml:space="preserve">, a UE is configured with three BWPs for the purpose of serving heavy traffic, light-but-frequent traffic, and sporadic traffic, respectively. The indicated values of parameters in each BWP are chosen in a power efficient manner so that, under the associated traffic characteristic, the performance metrics of throughput, latency, etc., are not degraded. When the traffic characteristic </w:t>
      </w:r>
      <w:r w:rsidR="001962E6" w:rsidRPr="00E25978">
        <w:t>for</w:t>
      </w:r>
      <w:r w:rsidR="002E0AFE" w:rsidRPr="00E25978">
        <w:t xml:space="preserve"> a UE changes, the network </w:t>
      </w:r>
      <w:r w:rsidR="00030C14" w:rsidRPr="00E25978">
        <w:t>issue</w:t>
      </w:r>
      <w:r w:rsidR="002E0AFE" w:rsidRPr="00E25978">
        <w:t xml:space="preserve">s </w:t>
      </w:r>
      <w:r w:rsidR="00E86D74" w:rsidRPr="00E25978">
        <w:t xml:space="preserve">a </w:t>
      </w:r>
      <w:r w:rsidR="002E0AFE" w:rsidRPr="00E25978">
        <w:t>command to the UE to perform BWP switching.</w:t>
      </w:r>
      <w:r w:rsidR="00B7791F" w:rsidRPr="00E25978">
        <w:t xml:space="preserve"> Details about the trigger of adaptation among different power</w:t>
      </w:r>
      <w:r w:rsidR="00B7791F" w:rsidRPr="001C1E4F">
        <w:t xml:space="preserve"> </w:t>
      </w:r>
      <w:r w:rsidR="001962E6" w:rsidRPr="001C1E4F">
        <w:t>consumption</w:t>
      </w:r>
      <w:r w:rsidR="00B7791F" w:rsidRPr="001C1E4F">
        <w:t xml:space="preserve"> configurations will be elaborated in Section 3.</w:t>
      </w:r>
      <w:r w:rsidR="00B7791F">
        <w:t xml:space="preserve"> </w:t>
      </w:r>
    </w:p>
    <w:p w14:paraId="646ABF7B" w14:textId="77777777" w:rsidR="009A59D7" w:rsidRDefault="009A59D7" w:rsidP="009A59D7">
      <w:pPr>
        <w:overflowPunct/>
        <w:autoSpaceDE/>
        <w:autoSpaceDN/>
        <w:adjustRightInd/>
        <w:spacing w:before="240"/>
        <w:jc w:val="center"/>
        <w:textAlignment w:val="auto"/>
        <w:rPr>
          <w:rFonts w:ascii="Times New Roman" w:hAnsi="Times New Roman"/>
          <w:szCs w:val="32"/>
        </w:rPr>
      </w:pPr>
      <w:r>
        <w:rPr>
          <w:rFonts w:ascii="Times New Roman" w:hAnsi="Times New Roman"/>
          <w:noProof/>
          <w:szCs w:val="32"/>
          <w:lang w:val="en-US" w:eastAsia="zh-CN"/>
        </w:rPr>
        <w:lastRenderedPageBreak/>
        <w:drawing>
          <wp:inline distT="0" distB="0" distL="0" distR="0" wp14:anchorId="470322AD" wp14:editId="5E561AB1">
            <wp:extent cx="5463746" cy="2198077"/>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3913" cy="2206190"/>
                    </a:xfrm>
                    <a:prstGeom prst="rect">
                      <a:avLst/>
                    </a:prstGeom>
                    <a:noFill/>
                    <a:ln>
                      <a:noFill/>
                    </a:ln>
                  </pic:spPr>
                </pic:pic>
              </a:graphicData>
            </a:graphic>
          </wp:inline>
        </w:drawing>
      </w:r>
    </w:p>
    <w:p w14:paraId="6E40CCF1" w14:textId="77777777" w:rsidR="009A59D7" w:rsidRPr="00B5367B" w:rsidRDefault="009A59D7" w:rsidP="009A59D7">
      <w:pPr>
        <w:overflowPunct/>
        <w:autoSpaceDE/>
        <w:autoSpaceDN/>
        <w:adjustRightInd/>
        <w:spacing w:before="120" w:after="240"/>
        <w:jc w:val="center"/>
        <w:textAlignment w:val="auto"/>
        <w:rPr>
          <w:rFonts w:ascii="Times New Roman" w:hAnsi="Times New Roman"/>
          <w:b/>
          <w:szCs w:val="32"/>
        </w:rPr>
      </w:pPr>
      <w:r w:rsidRPr="00B5367B">
        <w:rPr>
          <w:rFonts w:ascii="Times New Roman" w:hAnsi="Times New Roman"/>
          <w:b/>
          <w:szCs w:val="32"/>
        </w:rPr>
        <w:t xml:space="preserve">Figure 1. </w:t>
      </w:r>
      <w:r w:rsidRPr="00B5367B">
        <w:rPr>
          <w:rFonts w:ascii="Times New Roman" w:hAnsi="Times New Roman"/>
          <w:szCs w:val="32"/>
        </w:rPr>
        <w:t xml:space="preserve">Configuration of adapted parameter sets </w:t>
      </w:r>
      <w:r>
        <w:rPr>
          <w:rFonts w:ascii="Times New Roman" w:hAnsi="Times New Roman"/>
          <w:szCs w:val="32"/>
        </w:rPr>
        <w:t>b</w:t>
      </w:r>
      <w:r w:rsidRPr="00B5367B">
        <w:rPr>
          <w:rFonts w:ascii="Times New Roman" w:hAnsi="Times New Roman"/>
          <w:szCs w:val="32"/>
        </w:rPr>
        <w:t>ased on BWP framework</w:t>
      </w:r>
      <w:r>
        <w:rPr>
          <w:rFonts w:ascii="Times New Roman" w:hAnsi="Times New Roman"/>
          <w:szCs w:val="32"/>
        </w:rPr>
        <w:t xml:space="preserve"> in single cell</w:t>
      </w:r>
    </w:p>
    <w:p w14:paraId="21F5ACED" w14:textId="3DD64BE6" w:rsidR="009A59D7" w:rsidRPr="00F33E39" w:rsidRDefault="009A66EC" w:rsidP="00E25978">
      <w:pPr>
        <w:pStyle w:val="Caption"/>
      </w:pPr>
      <w:r>
        <w:t>Proposal</w:t>
      </w:r>
      <w:r w:rsidR="009A59D7" w:rsidRPr="00F33E39">
        <w:t xml:space="preserve"> 1: </w:t>
      </w:r>
      <w:r w:rsidR="009A59D7" w:rsidRPr="00F33E39">
        <w:rPr>
          <w:rStyle w:val="Emphasis"/>
          <w:i w:val="0"/>
          <w:iCs w:val="0"/>
        </w:rPr>
        <w:t>When adapted parameters configuration is based on BWP, each BWP targets for a particular traffic characteristic. The indicated values of parameters in each BWP are chosen in a power efficient manner so that the performance is not degraded under the associated traffic characteristic.</w:t>
      </w:r>
    </w:p>
    <w:p w14:paraId="4419CAEC" w14:textId="0F1FB0F0" w:rsidR="00B7791F" w:rsidRDefault="00B7791F" w:rsidP="00E835F3">
      <w:pPr>
        <w:pStyle w:val="Heading3"/>
        <w:spacing w:before="240"/>
      </w:pPr>
      <w:r>
        <w:t>2.1.2 C</w:t>
      </w:r>
      <w:r w:rsidRPr="00B7791F">
        <w:t>arrier aggregation</w:t>
      </w:r>
    </w:p>
    <w:p w14:paraId="39EF975A" w14:textId="061026B1" w:rsidR="009A59D7" w:rsidRDefault="009A59D7" w:rsidP="00EE319F">
      <w:pPr>
        <w:pStyle w:val="B1"/>
        <w:ind w:left="0" w:firstLine="0"/>
        <w:jc w:val="both"/>
      </w:pPr>
      <w:r w:rsidRPr="00B7791F">
        <w:t>In the case of carrier aggregation,</w:t>
      </w:r>
      <w:r>
        <w:t xml:space="preserve"> a UE is configured with BWPs in each serving cell. The active BWP (equivalently, the active power consumption configuration) of each serving cell should fit the current traffic characteristic of the UE. Therefore, active BWPs which are associated with the same traffic characteristic across serving cells should be bundled. See </w:t>
      </w:r>
      <w:r w:rsidRPr="00CA65DD">
        <w:t>Figure 2 fo</w:t>
      </w:r>
      <w:r>
        <w:t xml:space="preserve">r an illustration of the bundling concept. </w:t>
      </w:r>
    </w:p>
    <w:p w14:paraId="3FDB2568" w14:textId="1D2520A9" w:rsidR="0051502E" w:rsidRDefault="0051502E" w:rsidP="004C2216">
      <w:pPr>
        <w:overflowPunct/>
        <w:autoSpaceDE/>
        <w:autoSpaceDN/>
        <w:adjustRightInd/>
        <w:spacing w:before="240" w:after="120"/>
        <w:jc w:val="center"/>
        <w:textAlignment w:val="auto"/>
        <w:rPr>
          <w:sz w:val="28"/>
          <w:szCs w:val="28"/>
        </w:rPr>
      </w:pPr>
      <w:r>
        <w:rPr>
          <w:noProof/>
          <w:sz w:val="28"/>
          <w:szCs w:val="28"/>
          <w:lang w:val="en-US" w:eastAsia="zh-CN"/>
        </w:rPr>
        <w:drawing>
          <wp:inline distT="0" distB="0" distL="0" distR="0" wp14:anchorId="6036B3C9" wp14:editId="12AC3928">
            <wp:extent cx="4729724" cy="26723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34563" cy="2675042"/>
                    </a:xfrm>
                    <a:prstGeom prst="rect">
                      <a:avLst/>
                    </a:prstGeom>
                    <a:noFill/>
                    <a:ln>
                      <a:noFill/>
                    </a:ln>
                  </pic:spPr>
                </pic:pic>
              </a:graphicData>
            </a:graphic>
          </wp:inline>
        </w:drawing>
      </w:r>
    </w:p>
    <w:p w14:paraId="74197564" w14:textId="15DE5D26" w:rsidR="0051502E" w:rsidRDefault="0051502E" w:rsidP="0051502E">
      <w:pPr>
        <w:overflowPunct/>
        <w:autoSpaceDE/>
        <w:autoSpaceDN/>
        <w:adjustRightInd/>
        <w:spacing w:before="120" w:after="240"/>
        <w:jc w:val="center"/>
        <w:textAlignment w:val="auto"/>
        <w:rPr>
          <w:rFonts w:ascii="Times New Roman" w:hAnsi="Times New Roman"/>
        </w:rPr>
      </w:pPr>
      <w:r w:rsidRPr="0051502E">
        <w:rPr>
          <w:rFonts w:ascii="Times New Roman" w:hAnsi="Times New Roman"/>
          <w:b/>
        </w:rPr>
        <w:t xml:space="preserve">Figure 2. </w:t>
      </w:r>
      <w:r w:rsidRPr="0051502E">
        <w:rPr>
          <w:rFonts w:ascii="Times New Roman" w:hAnsi="Times New Roman"/>
        </w:rPr>
        <w:t>Illustration of bundling concept</w:t>
      </w:r>
    </w:p>
    <w:p w14:paraId="378E1DAE" w14:textId="791FABC3" w:rsidR="009A59D7" w:rsidRPr="00F33E39" w:rsidRDefault="009A66EC" w:rsidP="00F33E39">
      <w:pPr>
        <w:pStyle w:val="Caption"/>
      </w:pPr>
      <w:r>
        <w:t>Proposal</w:t>
      </w:r>
      <w:r w:rsidRPr="00F33E39">
        <w:t xml:space="preserve"> </w:t>
      </w:r>
      <w:r w:rsidR="009A59D7" w:rsidRPr="00F33E39">
        <w:t xml:space="preserve">2: </w:t>
      </w:r>
      <w:r w:rsidR="007F2492" w:rsidRPr="00F33E39">
        <w:rPr>
          <w:rStyle w:val="Emphasis"/>
          <w:i w:val="0"/>
          <w:iCs w:val="0"/>
        </w:rPr>
        <w:t>Since t</w:t>
      </w:r>
      <w:r w:rsidR="007F2492" w:rsidRPr="00F33E39">
        <w:t>he active power consumption configuration of each serving cell should fit the current traffic characteristic</w:t>
      </w:r>
      <w:r w:rsidR="007F2492" w:rsidRPr="00F33E39">
        <w:rPr>
          <w:rStyle w:val="Emphasis"/>
          <w:i w:val="0"/>
          <w:iCs w:val="0"/>
        </w:rPr>
        <w:t xml:space="preserve">, </w:t>
      </w:r>
      <w:r w:rsidR="009A59D7" w:rsidRPr="00F33E39">
        <w:t xml:space="preserve">BWPs which are associated with the same traffic characteristic across serving cells </w:t>
      </w:r>
      <w:r w:rsidR="009A59D7" w:rsidRPr="00F33E39">
        <w:rPr>
          <w:rStyle w:val="Emphasis"/>
          <w:i w:val="0"/>
          <w:iCs w:val="0"/>
        </w:rPr>
        <w:t>should</w:t>
      </w:r>
      <w:r w:rsidR="009A59D7" w:rsidRPr="00F33E39">
        <w:t xml:space="preserve"> be bundled. </w:t>
      </w:r>
    </w:p>
    <w:p w14:paraId="0630256C" w14:textId="77777777" w:rsidR="00EE319F" w:rsidRDefault="00EE319F" w:rsidP="00E25978">
      <w:pPr>
        <w:pStyle w:val="B1"/>
        <w:spacing w:before="120" w:after="120"/>
        <w:ind w:left="0" w:firstLine="0"/>
        <w:jc w:val="both"/>
      </w:pPr>
      <w:r w:rsidRPr="00EE319F">
        <w:t xml:space="preserve">More specifically, among all serving cells, some cells are selected as </w:t>
      </w:r>
      <w:r w:rsidRPr="00EE319F">
        <w:rPr>
          <w:rStyle w:val="Emphasis"/>
        </w:rPr>
        <w:t>leader cells</w:t>
      </w:r>
      <w:r w:rsidRPr="00EE319F">
        <w:t xml:space="preserve"> for adaptation of power consumption configuration; each leader cell is associate with a set of </w:t>
      </w:r>
      <w:r w:rsidRPr="00EE319F">
        <w:rPr>
          <w:rStyle w:val="Emphasis"/>
        </w:rPr>
        <w:t>follower cells</w:t>
      </w:r>
      <w:r w:rsidRPr="00EE319F">
        <w:t>. The key idea is the active power consumption configuration of a follower cell is determined by that of the associated leader cell, which implies a switch of power consumption configuration in a leader cell initiates a configuration switch in the associated follower cells. See Figure 3 as an example. In the figure, the leader cell is associated with flower cell 1 and follower cell 2. When UE adapts from BWP</w:t>
      </w:r>
      <w:r>
        <w:t xml:space="preserve"> 1 to BWP 3 in the leader cell, this adaptation initiates the adaptation in the two follower cells. In follower cell 1, adaptation is from BWP 1 to BWP 3. In follower cell 2, adaptation is from BWP 1 to BWP 2, which implies BWP 1 of the leader cell </w:t>
      </w:r>
      <w:r>
        <w:lastRenderedPageBreak/>
        <w:t xml:space="preserve">and BWP 1 of follower cell 2 are bundled; BWP 3 of the leader cell and BWP 2 of follower cell 2 are bundled. The bundling relation can be simply based on the BWP index or a combination of the BWP index and some predefined conditions.  </w:t>
      </w:r>
    </w:p>
    <w:p w14:paraId="007E7DC3" w14:textId="6DC311CA" w:rsidR="00C85527" w:rsidRDefault="00AD6775" w:rsidP="0051502E">
      <w:pPr>
        <w:overflowPunct/>
        <w:autoSpaceDE/>
        <w:autoSpaceDN/>
        <w:adjustRightInd/>
        <w:spacing w:before="240" w:after="120"/>
        <w:jc w:val="center"/>
        <w:textAlignment w:val="auto"/>
        <w:rPr>
          <w:rFonts w:ascii="Times New Roman" w:hAnsi="Times New Roman"/>
        </w:rPr>
      </w:pPr>
      <w:r>
        <w:rPr>
          <w:rFonts w:ascii="Times New Roman" w:hAnsi="Times New Roman"/>
          <w:noProof/>
          <w:lang w:val="en-US" w:eastAsia="zh-CN"/>
        </w:rPr>
        <w:drawing>
          <wp:inline distT="0" distB="0" distL="0" distR="0" wp14:anchorId="2AA86BCA" wp14:editId="3535D898">
            <wp:extent cx="5824855" cy="320865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24855" cy="3208655"/>
                    </a:xfrm>
                    <a:prstGeom prst="rect">
                      <a:avLst/>
                    </a:prstGeom>
                    <a:noFill/>
                    <a:ln>
                      <a:noFill/>
                    </a:ln>
                  </pic:spPr>
                </pic:pic>
              </a:graphicData>
            </a:graphic>
          </wp:inline>
        </w:drawing>
      </w:r>
    </w:p>
    <w:p w14:paraId="4E4E95DF" w14:textId="5BCD3ADE" w:rsidR="00C85527" w:rsidRPr="00C85527" w:rsidRDefault="00C85527" w:rsidP="00C85527">
      <w:pPr>
        <w:overflowPunct/>
        <w:autoSpaceDE/>
        <w:autoSpaceDN/>
        <w:adjustRightInd/>
        <w:spacing w:before="120" w:after="240"/>
        <w:jc w:val="center"/>
        <w:textAlignment w:val="auto"/>
        <w:rPr>
          <w:rFonts w:ascii="Times New Roman" w:hAnsi="Times New Roman"/>
          <w:b/>
        </w:rPr>
      </w:pPr>
      <w:r w:rsidRPr="00C85527">
        <w:rPr>
          <w:rFonts w:ascii="Times New Roman" w:hAnsi="Times New Roman"/>
          <w:b/>
        </w:rPr>
        <w:t>Figure 3.</w:t>
      </w:r>
      <w:r w:rsidRPr="00C85527">
        <w:rPr>
          <w:rFonts w:ascii="Times New Roman" w:hAnsi="Times New Roman"/>
        </w:rPr>
        <w:t xml:space="preserve"> B</w:t>
      </w:r>
      <w:r>
        <w:rPr>
          <w:rFonts w:ascii="Times New Roman" w:hAnsi="Times New Roman"/>
        </w:rPr>
        <w:t>WPs in leader cell and follower cells are b</w:t>
      </w:r>
      <w:r w:rsidRPr="00C85527">
        <w:rPr>
          <w:rFonts w:ascii="Times New Roman" w:hAnsi="Times New Roman"/>
        </w:rPr>
        <w:t>undl</w:t>
      </w:r>
      <w:r>
        <w:rPr>
          <w:rFonts w:ascii="Times New Roman" w:hAnsi="Times New Roman"/>
        </w:rPr>
        <w:t>ed</w:t>
      </w:r>
    </w:p>
    <w:p w14:paraId="02473876" w14:textId="581DDFA0" w:rsidR="00EE319F" w:rsidRPr="00AB0A10" w:rsidRDefault="009A66EC" w:rsidP="00F33E39">
      <w:pPr>
        <w:pStyle w:val="Caption"/>
        <w:rPr>
          <w:i/>
        </w:rPr>
      </w:pPr>
      <w:r>
        <w:t>Proposal</w:t>
      </w:r>
      <w:r w:rsidRPr="00AB0A10">
        <w:t xml:space="preserve"> </w:t>
      </w:r>
      <w:r w:rsidR="00EE319F" w:rsidRPr="00AB0A10">
        <w:t xml:space="preserve">3: </w:t>
      </w:r>
      <w:r w:rsidR="00AB0A10" w:rsidRPr="00AB0A10">
        <w:t>In the case of carrier aggregation,</w:t>
      </w:r>
      <w:r w:rsidR="00AB0A10" w:rsidRPr="00AB0A10">
        <w:rPr>
          <w:i/>
        </w:rPr>
        <w:t xml:space="preserve"> </w:t>
      </w:r>
      <w:r w:rsidR="00AB0A10" w:rsidRPr="00AB0A10">
        <w:rPr>
          <w:rStyle w:val="Emphasis"/>
          <w:rFonts w:cs="Arial"/>
          <w:i w:val="0"/>
        </w:rPr>
        <w:t>s</w:t>
      </w:r>
      <w:r w:rsidR="00EE319F" w:rsidRPr="00AB0A10">
        <w:rPr>
          <w:rStyle w:val="Emphasis"/>
          <w:rFonts w:cs="Arial"/>
          <w:i w:val="0"/>
        </w:rPr>
        <w:t>ome cells are selected as leader cells; each leader cell is associate with a set of follower cells. An adaptation of power consumption configuration in a leader cell initiates a configuration adaptation in the associated follower cells.</w:t>
      </w:r>
    </w:p>
    <w:p w14:paraId="7008906D" w14:textId="38F92E89" w:rsidR="00BB3BB7" w:rsidRDefault="00996397" w:rsidP="00E25978">
      <w:pPr>
        <w:pStyle w:val="B1"/>
        <w:ind w:left="0" w:firstLine="0"/>
        <w:jc w:val="both"/>
      </w:pPr>
      <w:r>
        <w:t xml:space="preserve">The advantage of the bundling concept </w:t>
      </w:r>
      <w:r w:rsidR="00BB3BB7">
        <w:t xml:space="preserve">in carrier aggregation </w:t>
      </w:r>
      <w:r>
        <w:t>i</w:t>
      </w:r>
      <w:r w:rsidR="00BB3BB7">
        <w:t>nclude</w:t>
      </w:r>
      <w:r>
        <w:t xml:space="preserve">s </w:t>
      </w:r>
      <w:r w:rsidR="00FE0AD1">
        <w:t>at least a</w:t>
      </w:r>
      <w:r w:rsidR="00BB3BB7">
        <w:t xml:space="preserve">) less overhead in </w:t>
      </w:r>
      <w:r w:rsidR="0063352E">
        <w:t xml:space="preserve">triggering </w:t>
      </w:r>
      <w:r w:rsidR="00030C14">
        <w:t>UE</w:t>
      </w:r>
      <w:r w:rsidR="00BB3BB7">
        <w:t xml:space="preserve"> adaptation, and </w:t>
      </w:r>
      <w:r w:rsidR="00FE0AD1">
        <w:t>b</w:t>
      </w:r>
      <w:r w:rsidR="00BB3BB7">
        <w:t>) simplicity in coordination of adaptation among serving cells</w:t>
      </w:r>
      <w:r>
        <w:t>.</w:t>
      </w:r>
      <w:r w:rsidR="00BB3BB7">
        <w:t xml:space="preserve"> The trigger of adaptation with the help of bundling concept will be </w:t>
      </w:r>
      <w:r w:rsidR="00030C14">
        <w:t>address</w:t>
      </w:r>
      <w:r w:rsidR="00BB3BB7">
        <w:t>ed in Section 3.</w:t>
      </w:r>
      <w:r>
        <w:t xml:space="preserve"> </w:t>
      </w:r>
    </w:p>
    <w:p w14:paraId="297BE192" w14:textId="0C3DDBF1" w:rsidR="005B7A43" w:rsidRPr="00F33E39" w:rsidRDefault="005B7A43" w:rsidP="00F33E39">
      <w:pPr>
        <w:pStyle w:val="Caption"/>
        <w:rPr>
          <w:rStyle w:val="Emphasis"/>
          <w:rFonts w:cs="Arial"/>
          <w:i w:val="0"/>
        </w:rPr>
      </w:pPr>
      <w:r w:rsidRPr="00F33E39">
        <w:rPr>
          <w:rStyle w:val="Emphasis"/>
          <w:rFonts w:cs="Arial"/>
          <w:i w:val="0"/>
        </w:rPr>
        <w:t xml:space="preserve">Observation </w:t>
      </w:r>
      <w:r w:rsidR="009A66EC">
        <w:rPr>
          <w:rStyle w:val="Emphasis"/>
          <w:rFonts w:cs="Arial"/>
          <w:i w:val="0"/>
        </w:rPr>
        <w:t>1</w:t>
      </w:r>
      <w:r w:rsidRPr="00F33E39">
        <w:rPr>
          <w:rStyle w:val="Emphasis"/>
          <w:rFonts w:cs="Arial"/>
          <w:i w:val="0"/>
        </w:rPr>
        <w:t xml:space="preserve">: Advantage of </w:t>
      </w:r>
      <w:r w:rsidR="004107C8">
        <w:rPr>
          <w:rStyle w:val="Emphasis"/>
          <w:rFonts w:cs="Arial"/>
          <w:i w:val="0"/>
        </w:rPr>
        <w:t xml:space="preserve">the </w:t>
      </w:r>
      <w:r w:rsidRPr="00F33E39">
        <w:rPr>
          <w:rStyle w:val="Emphasis"/>
          <w:rFonts w:cs="Arial"/>
          <w:i w:val="0"/>
        </w:rPr>
        <w:t>bundling</w:t>
      </w:r>
      <w:r w:rsidR="004107C8">
        <w:rPr>
          <w:rStyle w:val="Emphasis"/>
          <w:rFonts w:cs="Arial"/>
          <w:i w:val="0"/>
        </w:rPr>
        <w:t xml:space="preserve"> concept</w:t>
      </w:r>
      <w:r w:rsidRPr="00F33E39">
        <w:rPr>
          <w:rStyle w:val="Emphasis"/>
          <w:rFonts w:cs="Arial"/>
          <w:i w:val="0"/>
        </w:rPr>
        <w:t xml:space="preserve"> includes a) less overhead in adaptation triggering, and b) simplicity in coordination of adaptation among serving cells.</w:t>
      </w:r>
    </w:p>
    <w:p w14:paraId="18773DA8" w14:textId="31C07431" w:rsidR="0036427D" w:rsidRDefault="00BF7D76" w:rsidP="00E25978">
      <w:pPr>
        <w:pStyle w:val="B1"/>
        <w:ind w:left="0" w:firstLine="0"/>
        <w:jc w:val="both"/>
      </w:pPr>
      <w:r>
        <w:t>Some</w:t>
      </w:r>
      <w:r w:rsidR="00E46E52">
        <w:t xml:space="preserve"> use case</w:t>
      </w:r>
      <w:r>
        <w:t xml:space="preserve">s </w:t>
      </w:r>
      <w:r w:rsidR="00996397">
        <w:t xml:space="preserve">of the bundling concept </w:t>
      </w:r>
      <w:r>
        <w:t>are discussed</w:t>
      </w:r>
      <w:r w:rsidR="00996397">
        <w:t xml:space="preserve"> below</w:t>
      </w:r>
      <w:r>
        <w:t xml:space="preserve">. </w:t>
      </w:r>
      <w:r w:rsidR="00DD7793">
        <w:t>When</w:t>
      </w:r>
      <w:r>
        <w:t xml:space="preserve"> </w:t>
      </w:r>
      <w:r w:rsidR="00DD7793">
        <w:t xml:space="preserve">the traffic is heavy, </w:t>
      </w:r>
      <w:r w:rsidR="00030C14">
        <w:t>a</w:t>
      </w:r>
      <w:r w:rsidR="00DD7793">
        <w:t xml:space="preserve"> lead</w:t>
      </w:r>
      <w:r w:rsidR="00042E26">
        <w:t>er</w:t>
      </w:r>
      <w:r w:rsidR="00DD7793">
        <w:t xml:space="preserve"> cell and all the associated follow</w:t>
      </w:r>
      <w:r w:rsidR="00042E26">
        <w:t>er</w:t>
      </w:r>
      <w:r w:rsidR="00DD7793">
        <w:t xml:space="preserve"> cells should </w:t>
      </w:r>
      <w:r w:rsidR="00C67AF4">
        <w:t xml:space="preserve">be </w:t>
      </w:r>
      <w:r w:rsidR="00DD7793">
        <w:t>adapt</w:t>
      </w:r>
      <w:r w:rsidR="00C67AF4">
        <w:t>ed</w:t>
      </w:r>
      <w:r w:rsidR="00DD7793">
        <w:t xml:space="preserve"> to wide</w:t>
      </w:r>
      <w:r w:rsidR="00C67AF4">
        <w:t xml:space="preserve"> </w:t>
      </w:r>
      <w:r w:rsidR="00DD7793">
        <w:t>band</w:t>
      </w:r>
      <w:r w:rsidR="00C67AF4">
        <w:t>width</w:t>
      </w:r>
      <w:r w:rsidR="00DD7793">
        <w:t xml:space="preserve">, large number of MIMO layers, </w:t>
      </w:r>
      <w:r w:rsidR="00C67AF4">
        <w:t>frequent PDCCH monitor</w:t>
      </w:r>
      <w:r w:rsidR="00030C14">
        <w:t>ing</w:t>
      </w:r>
      <w:r w:rsidR="00C67AF4">
        <w:t>, etc.</w:t>
      </w:r>
      <w:r w:rsidR="00DD7793">
        <w:t xml:space="preserve">, to digest the traffic rapidly. </w:t>
      </w:r>
      <w:r w:rsidR="00042E26">
        <w:t>To enable this operation, power consumption configurations for heavy traffic in the leader cell and associated follower cells are</w:t>
      </w:r>
      <w:r w:rsidR="00030C14">
        <w:t xml:space="preserve"> </w:t>
      </w:r>
      <w:r w:rsidR="00042E26">
        <w:t xml:space="preserve">bundles. </w:t>
      </w:r>
      <w:r w:rsidR="00C67AF4">
        <w:t xml:space="preserve">When the </w:t>
      </w:r>
      <w:r w:rsidR="00042E26">
        <w:t xml:space="preserve">heavy </w:t>
      </w:r>
      <w:r w:rsidR="00C67AF4">
        <w:t>traffic is gone</w:t>
      </w:r>
      <w:r w:rsidR="00042E26">
        <w:t xml:space="preserve"> and becomes sporadic</w:t>
      </w:r>
      <w:r w:rsidR="00C67AF4">
        <w:t xml:space="preserve">, </w:t>
      </w:r>
      <w:r w:rsidR="00042E26">
        <w:t>the leader cell can be adapted to a configuration with a large PDCCH monitor</w:t>
      </w:r>
      <w:r w:rsidR="00030C14">
        <w:t>ing</w:t>
      </w:r>
      <w:r w:rsidR="00042E26">
        <w:t xml:space="preserve"> periodicity</w:t>
      </w:r>
      <w:r w:rsidR="0063352E">
        <w:t>; a</w:t>
      </w:r>
      <w:r w:rsidR="00042E26">
        <w:t>t the same time, the PDCCH search spaces in the follower cells can be disabled to save UE power consumption in PDCCH monitor</w:t>
      </w:r>
      <w:r w:rsidR="00030C14">
        <w:t>ing</w:t>
      </w:r>
      <w:r w:rsidR="00042E26">
        <w:t>. Thus, a power consumption configuration with long PDCCH monitor periodicity in the leader cell can be bundled with power consumption configurations without PDCCH m</w:t>
      </w:r>
      <w:r w:rsidR="00030C14">
        <w:t>onitoring in the follower cells.</w:t>
      </w:r>
    </w:p>
    <w:p w14:paraId="4E5DD4D6" w14:textId="2A167029" w:rsidR="00733015" w:rsidRPr="00733015" w:rsidRDefault="00733015" w:rsidP="00E835F3">
      <w:pPr>
        <w:pStyle w:val="Heading3"/>
        <w:spacing w:before="240"/>
      </w:pPr>
      <w:r>
        <w:t xml:space="preserve">2.1.3 </w:t>
      </w:r>
      <w:r w:rsidRPr="00733015">
        <w:t>Pros and Cons of power adaptation based on BWP</w:t>
      </w:r>
    </w:p>
    <w:p w14:paraId="68ADCDFB" w14:textId="6B58A5A6" w:rsidR="00164ED0" w:rsidRPr="00733015" w:rsidRDefault="00326C4C" w:rsidP="00E25978">
      <w:pPr>
        <w:pStyle w:val="B1"/>
        <w:ind w:left="0" w:firstLine="0"/>
        <w:jc w:val="both"/>
      </w:pPr>
      <w:r w:rsidRPr="00733015">
        <w:t>BWP is a</w:t>
      </w:r>
      <w:r w:rsidR="00733015">
        <w:t>n</w:t>
      </w:r>
      <w:r w:rsidRPr="00733015">
        <w:t xml:space="preserve"> </w:t>
      </w:r>
      <w:r w:rsidR="00733015">
        <w:t xml:space="preserve">NR Rel-15 </w:t>
      </w:r>
      <w:r w:rsidRPr="00733015">
        <w:t>f</w:t>
      </w:r>
      <w:r w:rsidR="00733015">
        <w:t>eature</w:t>
      </w:r>
      <w:r w:rsidRPr="00733015">
        <w:t xml:space="preserve">. </w:t>
      </w:r>
      <w:r w:rsidR="00733015">
        <w:t xml:space="preserve">One of the motivations for BWP is UE power saving by bandwidth adaptation based on </w:t>
      </w:r>
      <w:r w:rsidR="00B16FED">
        <w:t xml:space="preserve">the </w:t>
      </w:r>
      <w:r w:rsidR="00733015">
        <w:t xml:space="preserve">traffic characteristic. In Rel-16, more power consumption relevant parameters can be </w:t>
      </w:r>
      <w:r w:rsidR="00B16FED">
        <w:t>incorporated</w:t>
      </w:r>
      <w:r w:rsidR="00733015">
        <w:t xml:space="preserve"> in BWP configuration, and UE power saving can be achieved by adapting more parameter configurations in different domains besides the bandwidth. </w:t>
      </w:r>
      <w:r w:rsidRPr="00733015">
        <w:t xml:space="preserve">Many </w:t>
      </w:r>
      <w:r w:rsidR="00B16FED">
        <w:t xml:space="preserve">BWP </w:t>
      </w:r>
      <w:r w:rsidRPr="00733015">
        <w:t xml:space="preserve">functionality </w:t>
      </w:r>
      <w:r w:rsidR="0063352E">
        <w:t xml:space="preserve">in Rel-15 </w:t>
      </w:r>
      <w:r w:rsidRPr="00733015">
        <w:t xml:space="preserve">can be </w:t>
      </w:r>
      <w:r w:rsidR="00164ED0" w:rsidRPr="00733015">
        <w:t xml:space="preserve">directly </w:t>
      </w:r>
      <w:r w:rsidR="0063352E">
        <w:t>re</w:t>
      </w:r>
      <w:r w:rsidRPr="00733015">
        <w:t>used</w:t>
      </w:r>
      <w:r w:rsidR="00733015">
        <w:t xml:space="preserve">.  </w:t>
      </w:r>
    </w:p>
    <w:p w14:paraId="3CDD2424" w14:textId="04DD0CB2" w:rsidR="00A60252" w:rsidRPr="00A60252" w:rsidRDefault="00B16FED" w:rsidP="00E25978">
      <w:pPr>
        <w:pStyle w:val="B1"/>
        <w:ind w:left="0" w:firstLine="0"/>
        <w:jc w:val="both"/>
      </w:pPr>
      <w:r w:rsidRPr="00B16FED">
        <w:t xml:space="preserve">However, </w:t>
      </w:r>
      <w:r>
        <w:t xml:space="preserve">some shortcomings of power </w:t>
      </w:r>
      <w:r w:rsidR="009779B2">
        <w:t>consumption configuration</w:t>
      </w:r>
      <w:r>
        <w:t xml:space="preserve"> based on BWP can still be identified. For example, </w:t>
      </w:r>
      <w:r w:rsidRPr="00A60252">
        <w:t xml:space="preserve">flexibility in adaptation is limited if the number of configured BWPs is not large. </w:t>
      </w:r>
      <w:r w:rsidR="00A60252">
        <w:t>When</w:t>
      </w:r>
      <w:r w:rsidRPr="00A60252">
        <w:t xml:space="preserve"> a UE is configured with 2 BWPs</w:t>
      </w:r>
      <w:r w:rsidR="00A60252">
        <w:t xml:space="preserve">, there are only 2 configurations for power saving. </w:t>
      </w:r>
      <w:r w:rsidR="00A60252" w:rsidRPr="00A60252">
        <w:t>Taking into account all identified</w:t>
      </w:r>
      <w:r w:rsidRPr="00A60252">
        <w:t xml:space="preserve"> power consumption relevant parameters</w:t>
      </w:r>
      <w:r w:rsidR="00A60252">
        <w:t>, w</w:t>
      </w:r>
      <w:r w:rsidR="00A60252" w:rsidRPr="00A60252">
        <w:t xml:space="preserve">e feel the flexibility in </w:t>
      </w:r>
      <w:r w:rsidR="00A60252">
        <w:t xml:space="preserve">power consumption configuration in </w:t>
      </w:r>
      <w:r w:rsidR="00A60252" w:rsidRPr="00A60252">
        <w:t xml:space="preserve">serving </w:t>
      </w:r>
      <w:r w:rsidR="00A60252">
        <w:t xml:space="preserve">different </w:t>
      </w:r>
      <w:r w:rsidR="00A60252" w:rsidRPr="00A60252">
        <w:t>traffic types is insufficient.</w:t>
      </w:r>
    </w:p>
    <w:p w14:paraId="0ABA314A" w14:textId="781491FA" w:rsidR="00733015" w:rsidRPr="00B16FED" w:rsidRDefault="00B16FED" w:rsidP="00E25978">
      <w:pPr>
        <w:pStyle w:val="B1"/>
        <w:ind w:left="0" w:firstLine="0"/>
        <w:jc w:val="both"/>
      </w:pPr>
      <w:r>
        <w:lastRenderedPageBreak/>
        <w:t>Moreover, long transition time of BWP switching may lead to i</w:t>
      </w:r>
      <w:r w:rsidR="00A60252">
        <w:t xml:space="preserve">nefficient operation when </w:t>
      </w:r>
      <w:r>
        <w:t>adaptation is frequent. In Rel-</w:t>
      </w:r>
      <w:r w:rsidRPr="009779B2">
        <w:t xml:space="preserve">15, even with dynamic BWP switching, the transition time </w:t>
      </w:r>
      <w:r w:rsidR="00030C14" w:rsidRPr="009779B2">
        <w:t>can be</w:t>
      </w:r>
      <w:r w:rsidRPr="009779B2">
        <w:t xml:space="preserve"> a</w:t>
      </w:r>
      <w:r w:rsidR="009779B2" w:rsidRPr="009779B2">
        <w:t xml:space="preserve">s long as 3 </w:t>
      </w:r>
      <w:r w:rsidRPr="009779B2">
        <w:t>msec, during which the UE cannot transmit and receive. This</w:t>
      </w:r>
      <w:r>
        <w:t xml:space="preserve"> consideration will certainly decrease network’s intention in issuing a</w:t>
      </w:r>
      <w:r w:rsidR="00A60252">
        <w:t>n</w:t>
      </w:r>
      <w:r>
        <w:t xml:space="preserve"> adaptation command.   </w:t>
      </w:r>
    </w:p>
    <w:p w14:paraId="6AC2C253" w14:textId="648DA6B7" w:rsidR="00A60252" w:rsidRDefault="00B16FED" w:rsidP="00E25978">
      <w:pPr>
        <w:pStyle w:val="B1"/>
        <w:ind w:left="0" w:firstLine="0"/>
        <w:jc w:val="both"/>
      </w:pPr>
      <w:r w:rsidRPr="00B16FED">
        <w:t xml:space="preserve">Lastly, </w:t>
      </w:r>
      <w:r>
        <w:t xml:space="preserve">adaptation for parameters which </w:t>
      </w:r>
      <w:r w:rsidRPr="00A60252">
        <w:t>are non BWP specific</w:t>
      </w:r>
      <w:r>
        <w:t xml:space="preserve"> need</w:t>
      </w:r>
      <w:r w:rsidR="00A60252">
        <w:t>s</w:t>
      </w:r>
      <w:r>
        <w:t xml:space="preserve"> extra handling. </w:t>
      </w:r>
      <w:r w:rsidR="00A60252">
        <w:t xml:space="preserve">Besides, since configuration of BWP comprises </w:t>
      </w:r>
      <w:r w:rsidR="00A60252" w:rsidRPr="00C778DD">
        <w:rPr>
          <w:rStyle w:val="Emphasis"/>
        </w:rPr>
        <w:t>BWP-Uplink</w:t>
      </w:r>
      <w:r w:rsidR="00A60252">
        <w:t xml:space="preserve"> and </w:t>
      </w:r>
      <w:r w:rsidR="00A60252" w:rsidRPr="00C778DD">
        <w:rPr>
          <w:rStyle w:val="Emphasis"/>
        </w:rPr>
        <w:t>BWP-Downlink</w:t>
      </w:r>
      <w:r w:rsidR="00A60252">
        <w:t xml:space="preserve">, parameters which are </w:t>
      </w:r>
      <w:r w:rsidR="00A60252" w:rsidRPr="00A60252">
        <w:t>non-link-direction specific</w:t>
      </w:r>
      <w:r w:rsidR="00A60252">
        <w:t xml:space="preserve"> also need additional handling.</w:t>
      </w:r>
    </w:p>
    <w:p w14:paraId="77E554B9" w14:textId="6782B90A" w:rsidR="00420C7B" w:rsidRPr="00F33E39" w:rsidRDefault="00420C7B" w:rsidP="00F33E39">
      <w:pPr>
        <w:pStyle w:val="Caption"/>
      </w:pPr>
      <w:r w:rsidRPr="00F33E39">
        <w:rPr>
          <w:rStyle w:val="Emphasis"/>
          <w:i w:val="0"/>
          <w:iCs w:val="0"/>
        </w:rPr>
        <w:t xml:space="preserve">Observation </w:t>
      </w:r>
      <w:r w:rsidR="009A66EC">
        <w:rPr>
          <w:rStyle w:val="Emphasis"/>
          <w:i w:val="0"/>
          <w:iCs w:val="0"/>
        </w:rPr>
        <w:t>2</w:t>
      </w:r>
      <w:r w:rsidRPr="00F33E39">
        <w:rPr>
          <w:rStyle w:val="Emphasis"/>
          <w:i w:val="0"/>
          <w:iCs w:val="0"/>
        </w:rPr>
        <w:t>: The advantage of power adaptation based on BWP is Rel-15</w:t>
      </w:r>
      <w:r w:rsidRPr="00F33E39">
        <w:t xml:space="preserve"> functionality can be directly reused</w:t>
      </w:r>
      <w:r w:rsidRPr="00F33E39">
        <w:rPr>
          <w:rStyle w:val="Emphasis"/>
          <w:i w:val="0"/>
          <w:iCs w:val="0"/>
        </w:rPr>
        <w:t>.</w:t>
      </w:r>
    </w:p>
    <w:p w14:paraId="7E239B7F" w14:textId="63BD1BD8" w:rsidR="00420C7B" w:rsidRPr="00F33E39" w:rsidRDefault="00420C7B" w:rsidP="00F33E39">
      <w:pPr>
        <w:pStyle w:val="Caption"/>
      </w:pPr>
      <w:r w:rsidRPr="00F33E39">
        <w:rPr>
          <w:rStyle w:val="Emphasis"/>
          <w:i w:val="0"/>
          <w:iCs w:val="0"/>
        </w:rPr>
        <w:t xml:space="preserve">Observation </w:t>
      </w:r>
      <w:r w:rsidR="009A66EC">
        <w:rPr>
          <w:rStyle w:val="Emphasis"/>
          <w:i w:val="0"/>
          <w:iCs w:val="0"/>
        </w:rPr>
        <w:t>3</w:t>
      </w:r>
      <w:r w:rsidRPr="00F33E39">
        <w:rPr>
          <w:rStyle w:val="Emphasis"/>
          <w:i w:val="0"/>
          <w:iCs w:val="0"/>
        </w:rPr>
        <w:t>: Shortcoming of power adaptation based on BWP includes</w:t>
      </w:r>
      <w:r w:rsidR="001F2B63" w:rsidRPr="00F33E39">
        <w:rPr>
          <w:rStyle w:val="Emphasis"/>
          <w:i w:val="0"/>
          <w:iCs w:val="0"/>
        </w:rPr>
        <w:t xml:space="preserve"> a) </w:t>
      </w:r>
      <w:r w:rsidR="001F2B63" w:rsidRPr="00F33E39">
        <w:t xml:space="preserve">flexibility in adaptation is limited if the number of configured BWPs is </w:t>
      </w:r>
      <w:r w:rsidR="00AF4393">
        <w:t>small</w:t>
      </w:r>
      <w:r w:rsidR="001F2B63" w:rsidRPr="00F33E39">
        <w:rPr>
          <w:rStyle w:val="Emphasis"/>
          <w:i w:val="0"/>
          <w:iCs w:val="0"/>
        </w:rPr>
        <w:t xml:space="preserve">, b) </w:t>
      </w:r>
      <w:r w:rsidR="001F2B63" w:rsidRPr="00F33E39">
        <w:t>long transition time of BWP switching may lead to inefficient operation when adaptation is frequent</w:t>
      </w:r>
      <w:r w:rsidR="001F2B63" w:rsidRPr="00F33E39">
        <w:rPr>
          <w:rStyle w:val="Emphasis"/>
          <w:i w:val="0"/>
          <w:iCs w:val="0"/>
        </w:rPr>
        <w:t xml:space="preserve">, </w:t>
      </w:r>
      <w:r w:rsidR="004107C8">
        <w:rPr>
          <w:rStyle w:val="Emphasis"/>
          <w:i w:val="0"/>
          <w:iCs w:val="0"/>
        </w:rPr>
        <w:t xml:space="preserve">and </w:t>
      </w:r>
      <w:r w:rsidR="001F2B63" w:rsidRPr="00F33E39">
        <w:rPr>
          <w:rStyle w:val="Emphasis"/>
          <w:i w:val="0"/>
          <w:iCs w:val="0"/>
        </w:rPr>
        <w:t>c) additional handling is needed for non-BWP specific and non-link-direction specific parameters.</w:t>
      </w:r>
    </w:p>
    <w:p w14:paraId="6F8E52AA" w14:textId="3E93EF61" w:rsidR="00AD6775" w:rsidRDefault="00AD6775" w:rsidP="00E835F3">
      <w:pPr>
        <w:pStyle w:val="Heading3"/>
        <w:spacing w:before="240"/>
      </w:pPr>
      <w:r w:rsidRPr="00AD6775">
        <w:t>2.1.4</w:t>
      </w:r>
      <w:r>
        <w:t xml:space="preserve"> SLS results for adaptation of maximum number of </w:t>
      </w:r>
      <w:r w:rsidR="008F226B">
        <w:t xml:space="preserve">DL </w:t>
      </w:r>
      <w:r>
        <w:t>MIMO layers</w:t>
      </w:r>
    </w:p>
    <w:p w14:paraId="47306A8E" w14:textId="701EB9B4" w:rsidR="00AD6775" w:rsidRDefault="00AD6775" w:rsidP="00E25978">
      <w:pPr>
        <w:pStyle w:val="B1"/>
        <w:ind w:left="0" w:firstLine="0"/>
        <w:jc w:val="both"/>
      </w:pPr>
      <w:r w:rsidRPr="00AD6775">
        <w:t xml:space="preserve">In the beginning of Section 2.1, </w:t>
      </w:r>
      <w:r>
        <w:t>the</w:t>
      </w:r>
      <w:r w:rsidRPr="00AD6775">
        <w:t xml:space="preserve"> importan</w:t>
      </w:r>
      <w:r>
        <w:t>ce</w:t>
      </w:r>
      <w:r w:rsidRPr="00AD6775">
        <w:t xml:space="preserve"> to examine the relative</w:t>
      </w:r>
      <w:r w:rsidRPr="00F009C8">
        <w:t xml:space="preserve"> energy contributions of different components to the average power consumption</w:t>
      </w:r>
      <w:r>
        <w:t xml:space="preserve"> was highlighted.</w:t>
      </w:r>
      <w:r w:rsidRPr="00F009C8">
        <w:t xml:space="preserve"> </w:t>
      </w:r>
      <w:r>
        <w:t>By doing so, we can</w:t>
      </w:r>
      <w:r w:rsidRPr="00F009C8">
        <w:t xml:space="preserve"> </w:t>
      </w:r>
      <w:r>
        <w:t>understand</w:t>
      </w:r>
      <w:r w:rsidRPr="00F009C8">
        <w:t xml:space="preserve"> </w:t>
      </w:r>
      <w:r>
        <w:t xml:space="preserve">what and </w:t>
      </w:r>
      <w:r w:rsidRPr="00F009C8">
        <w:t xml:space="preserve">how </w:t>
      </w:r>
      <w:r>
        <w:t>adapted</w:t>
      </w:r>
      <w:r w:rsidRPr="00F009C8">
        <w:t xml:space="preserve"> </w:t>
      </w:r>
      <w:r>
        <w:t>parameter</w:t>
      </w:r>
      <w:r w:rsidRPr="00F009C8">
        <w:t>s can be configured to give good UE power consumption while avoiding unnecessary constraints on network flexibility.</w:t>
      </w:r>
      <w:r>
        <w:t xml:space="preserve"> In Rel-15, the benefit of adapting the bandwidth from the perspective of UE power saving has been recognized. Here, we provide SLS results to show the advantage of adapting the maximum number of </w:t>
      </w:r>
      <w:r w:rsidR="00E52EC8">
        <w:t xml:space="preserve">DL </w:t>
      </w:r>
      <w:r>
        <w:t>MIMO layers.</w:t>
      </w:r>
    </w:p>
    <w:p w14:paraId="5CC3CC79" w14:textId="0DA507A2" w:rsidR="00A1590A" w:rsidRDefault="00A1590A" w:rsidP="00A1590A">
      <w:pPr>
        <w:pStyle w:val="B1"/>
        <w:ind w:left="0" w:firstLine="0"/>
        <w:jc w:val="both"/>
      </w:pPr>
      <w:r>
        <w:t xml:space="preserve">Table 1 gives the simulation assumptions. In the simulation, 7-site and 21-cell deployment is used. Each cell has 40 UEs; thus there are in total 840 UEs in the simulation. </w:t>
      </w:r>
    </w:p>
    <w:tbl>
      <w:tblPr>
        <w:tblStyle w:val="TableGrid"/>
        <w:tblW w:w="0" w:type="auto"/>
        <w:jc w:val="center"/>
        <w:tblLook w:val="04A0" w:firstRow="1" w:lastRow="0" w:firstColumn="1" w:lastColumn="0" w:noHBand="0" w:noVBand="1"/>
      </w:tblPr>
      <w:tblGrid>
        <w:gridCol w:w="2689"/>
        <w:gridCol w:w="3118"/>
      </w:tblGrid>
      <w:tr w:rsidR="00A1590A" w14:paraId="7E97247E" w14:textId="77777777" w:rsidTr="00A1590A">
        <w:trPr>
          <w:jc w:val="center"/>
        </w:trPr>
        <w:tc>
          <w:tcPr>
            <w:tcW w:w="2689" w:type="dxa"/>
          </w:tcPr>
          <w:p w14:paraId="15908D94" w14:textId="77777777" w:rsidR="00A1590A" w:rsidRPr="00A1590A" w:rsidRDefault="00A1590A" w:rsidP="002E5B4C">
            <w:pPr>
              <w:pStyle w:val="B1"/>
              <w:spacing w:after="0"/>
              <w:ind w:left="0" w:firstLine="0"/>
              <w:jc w:val="both"/>
              <w:rPr>
                <w:b/>
              </w:rPr>
            </w:pPr>
            <w:r w:rsidRPr="00A1590A">
              <w:rPr>
                <w:b/>
              </w:rPr>
              <w:t>Simulation parameters</w:t>
            </w:r>
          </w:p>
        </w:tc>
        <w:tc>
          <w:tcPr>
            <w:tcW w:w="3118" w:type="dxa"/>
          </w:tcPr>
          <w:p w14:paraId="65941FDC" w14:textId="77777777" w:rsidR="00A1590A" w:rsidRPr="00A1590A" w:rsidRDefault="00A1590A" w:rsidP="002E5B4C">
            <w:pPr>
              <w:pStyle w:val="B1"/>
              <w:spacing w:after="0"/>
              <w:ind w:left="0" w:firstLine="0"/>
              <w:jc w:val="both"/>
              <w:rPr>
                <w:b/>
              </w:rPr>
            </w:pPr>
            <w:r w:rsidRPr="00A1590A">
              <w:rPr>
                <w:b/>
              </w:rPr>
              <w:t>Values</w:t>
            </w:r>
          </w:p>
        </w:tc>
      </w:tr>
      <w:tr w:rsidR="00A1590A" w14:paraId="4CABC5FD" w14:textId="77777777" w:rsidTr="00A1590A">
        <w:trPr>
          <w:jc w:val="center"/>
        </w:trPr>
        <w:tc>
          <w:tcPr>
            <w:tcW w:w="2689" w:type="dxa"/>
          </w:tcPr>
          <w:p w14:paraId="075FF35B" w14:textId="77777777" w:rsidR="00A1590A" w:rsidRDefault="00A1590A" w:rsidP="002E5B4C">
            <w:pPr>
              <w:pStyle w:val="B1"/>
              <w:spacing w:after="0"/>
              <w:ind w:left="0" w:firstLine="0"/>
              <w:jc w:val="both"/>
            </w:pPr>
            <w:r>
              <w:t>Subcarrier spacing</w:t>
            </w:r>
          </w:p>
        </w:tc>
        <w:tc>
          <w:tcPr>
            <w:tcW w:w="3118" w:type="dxa"/>
          </w:tcPr>
          <w:p w14:paraId="0707AE06" w14:textId="77777777" w:rsidR="00A1590A" w:rsidRDefault="00A1590A" w:rsidP="002E5B4C">
            <w:pPr>
              <w:pStyle w:val="B1"/>
              <w:spacing w:after="0"/>
              <w:ind w:left="0" w:firstLine="0"/>
              <w:jc w:val="both"/>
            </w:pPr>
            <w:r>
              <w:t>30 kHz</w:t>
            </w:r>
          </w:p>
        </w:tc>
      </w:tr>
      <w:tr w:rsidR="00A1590A" w14:paraId="6DC71FB9" w14:textId="77777777" w:rsidTr="00A1590A">
        <w:trPr>
          <w:jc w:val="center"/>
        </w:trPr>
        <w:tc>
          <w:tcPr>
            <w:tcW w:w="2689" w:type="dxa"/>
          </w:tcPr>
          <w:p w14:paraId="74D76262" w14:textId="77777777" w:rsidR="00A1590A" w:rsidRDefault="00A1590A" w:rsidP="002E5B4C">
            <w:pPr>
              <w:pStyle w:val="B1"/>
              <w:spacing w:after="0"/>
              <w:ind w:left="0" w:firstLine="0"/>
              <w:jc w:val="both"/>
            </w:pPr>
            <w:r>
              <w:t>Bandwidth</w:t>
            </w:r>
          </w:p>
        </w:tc>
        <w:tc>
          <w:tcPr>
            <w:tcW w:w="3118" w:type="dxa"/>
          </w:tcPr>
          <w:p w14:paraId="05E643E3" w14:textId="77777777" w:rsidR="00A1590A" w:rsidRDefault="00A1590A" w:rsidP="002E5B4C">
            <w:pPr>
              <w:pStyle w:val="B1"/>
              <w:spacing w:after="0"/>
              <w:ind w:left="0" w:firstLine="0"/>
              <w:jc w:val="both"/>
            </w:pPr>
            <w:r>
              <w:t>20 MHz</w:t>
            </w:r>
          </w:p>
        </w:tc>
      </w:tr>
      <w:tr w:rsidR="00A1590A" w14:paraId="7E2BBB77" w14:textId="77777777" w:rsidTr="00A1590A">
        <w:trPr>
          <w:jc w:val="center"/>
        </w:trPr>
        <w:tc>
          <w:tcPr>
            <w:tcW w:w="2689" w:type="dxa"/>
          </w:tcPr>
          <w:p w14:paraId="0B18E842" w14:textId="77777777" w:rsidR="00A1590A" w:rsidRDefault="00A1590A" w:rsidP="002E5B4C">
            <w:pPr>
              <w:pStyle w:val="B1"/>
              <w:spacing w:after="0"/>
              <w:ind w:left="0" w:firstLine="0"/>
              <w:jc w:val="both"/>
            </w:pPr>
            <w:r>
              <w:t>Channel model</w:t>
            </w:r>
          </w:p>
        </w:tc>
        <w:tc>
          <w:tcPr>
            <w:tcW w:w="3118" w:type="dxa"/>
          </w:tcPr>
          <w:p w14:paraId="5592DCC1" w14:textId="77777777" w:rsidR="00A1590A" w:rsidRDefault="00A1590A" w:rsidP="002E5B4C">
            <w:pPr>
              <w:pStyle w:val="B1"/>
              <w:spacing w:after="0"/>
              <w:ind w:left="0" w:firstLine="0"/>
              <w:jc w:val="both"/>
            </w:pPr>
            <w:r>
              <w:t>1MT 2020 UMa</w:t>
            </w:r>
          </w:p>
        </w:tc>
      </w:tr>
      <w:tr w:rsidR="00A1590A" w14:paraId="2F08FF10" w14:textId="77777777" w:rsidTr="00A1590A">
        <w:trPr>
          <w:jc w:val="center"/>
        </w:trPr>
        <w:tc>
          <w:tcPr>
            <w:tcW w:w="2689" w:type="dxa"/>
          </w:tcPr>
          <w:p w14:paraId="6EC3BEE3" w14:textId="77777777" w:rsidR="00A1590A" w:rsidRDefault="00A1590A" w:rsidP="002E5B4C">
            <w:pPr>
              <w:pStyle w:val="B1"/>
              <w:spacing w:after="0"/>
              <w:ind w:left="0" w:firstLine="0"/>
              <w:jc w:val="both"/>
            </w:pPr>
            <w:r>
              <w:t>Deployment</w:t>
            </w:r>
          </w:p>
        </w:tc>
        <w:tc>
          <w:tcPr>
            <w:tcW w:w="3118" w:type="dxa"/>
          </w:tcPr>
          <w:p w14:paraId="667EF1A4" w14:textId="6EBA0DCB" w:rsidR="00A1590A" w:rsidRDefault="00A1590A" w:rsidP="00A1590A">
            <w:pPr>
              <w:pStyle w:val="B1"/>
              <w:spacing w:after="0"/>
              <w:ind w:left="0" w:firstLine="0"/>
              <w:jc w:val="both"/>
            </w:pPr>
            <w:r>
              <w:t>Dense urban, 7 macro sites, 21 cells</w:t>
            </w:r>
          </w:p>
        </w:tc>
      </w:tr>
      <w:tr w:rsidR="00A1590A" w14:paraId="7BAA2442" w14:textId="77777777" w:rsidTr="00A1590A">
        <w:trPr>
          <w:jc w:val="center"/>
        </w:trPr>
        <w:tc>
          <w:tcPr>
            <w:tcW w:w="2689" w:type="dxa"/>
          </w:tcPr>
          <w:p w14:paraId="072DE487" w14:textId="77777777" w:rsidR="00A1590A" w:rsidRDefault="00A1590A" w:rsidP="002E5B4C">
            <w:pPr>
              <w:pStyle w:val="B1"/>
              <w:spacing w:after="0"/>
              <w:ind w:left="0" w:firstLine="0"/>
              <w:jc w:val="both"/>
            </w:pPr>
            <w:r>
              <w:t>Number of BS TX antennas</w:t>
            </w:r>
          </w:p>
        </w:tc>
        <w:tc>
          <w:tcPr>
            <w:tcW w:w="3118" w:type="dxa"/>
          </w:tcPr>
          <w:p w14:paraId="06A4CF1C" w14:textId="77777777" w:rsidR="00A1590A" w:rsidRDefault="00A1590A" w:rsidP="002E5B4C">
            <w:pPr>
              <w:pStyle w:val="B1"/>
              <w:spacing w:after="0"/>
              <w:ind w:left="0" w:firstLine="0"/>
              <w:jc w:val="both"/>
            </w:pPr>
            <w:r>
              <w:t>32</w:t>
            </w:r>
          </w:p>
        </w:tc>
      </w:tr>
      <w:tr w:rsidR="00A1590A" w14:paraId="3BCAD624" w14:textId="77777777" w:rsidTr="00A1590A">
        <w:trPr>
          <w:jc w:val="center"/>
        </w:trPr>
        <w:tc>
          <w:tcPr>
            <w:tcW w:w="2689" w:type="dxa"/>
          </w:tcPr>
          <w:p w14:paraId="493DF5EE" w14:textId="77777777" w:rsidR="00A1590A" w:rsidRDefault="00A1590A" w:rsidP="002E5B4C">
            <w:pPr>
              <w:pStyle w:val="B1"/>
              <w:spacing w:after="0"/>
              <w:ind w:left="0" w:firstLine="0"/>
              <w:jc w:val="both"/>
            </w:pPr>
            <w:r>
              <w:t>Number of UE RX antennas</w:t>
            </w:r>
          </w:p>
        </w:tc>
        <w:tc>
          <w:tcPr>
            <w:tcW w:w="3118" w:type="dxa"/>
          </w:tcPr>
          <w:p w14:paraId="69109256" w14:textId="77777777" w:rsidR="00A1590A" w:rsidRDefault="00A1590A" w:rsidP="002E5B4C">
            <w:pPr>
              <w:pStyle w:val="B1"/>
              <w:spacing w:after="0"/>
              <w:ind w:left="0" w:firstLine="0"/>
              <w:jc w:val="both"/>
            </w:pPr>
            <w:r>
              <w:t>2 or 4</w:t>
            </w:r>
          </w:p>
        </w:tc>
      </w:tr>
      <w:tr w:rsidR="00A1590A" w14:paraId="15E57FEB" w14:textId="77777777" w:rsidTr="00A1590A">
        <w:trPr>
          <w:jc w:val="center"/>
        </w:trPr>
        <w:tc>
          <w:tcPr>
            <w:tcW w:w="2689" w:type="dxa"/>
          </w:tcPr>
          <w:p w14:paraId="6F86084E" w14:textId="77777777" w:rsidR="00A1590A" w:rsidRDefault="00A1590A" w:rsidP="002E5B4C">
            <w:pPr>
              <w:pStyle w:val="B1"/>
              <w:spacing w:after="0"/>
              <w:ind w:left="0" w:firstLine="0"/>
              <w:jc w:val="both"/>
            </w:pPr>
            <w:r>
              <w:t>MIMO scheme</w:t>
            </w:r>
          </w:p>
        </w:tc>
        <w:tc>
          <w:tcPr>
            <w:tcW w:w="3118" w:type="dxa"/>
          </w:tcPr>
          <w:p w14:paraId="03F98164" w14:textId="77777777" w:rsidR="00A1590A" w:rsidRDefault="00A1590A" w:rsidP="002E5B4C">
            <w:pPr>
              <w:pStyle w:val="B1"/>
              <w:spacing w:after="0"/>
              <w:ind w:left="0" w:firstLine="0"/>
              <w:jc w:val="both"/>
            </w:pPr>
            <w:r>
              <w:t xml:space="preserve">SU-MIMO </w:t>
            </w:r>
          </w:p>
        </w:tc>
      </w:tr>
    </w:tbl>
    <w:p w14:paraId="24957AB1" w14:textId="3AA995F4" w:rsidR="00A1590A" w:rsidRDefault="00A1590A" w:rsidP="00A1590A">
      <w:pPr>
        <w:pStyle w:val="B1"/>
        <w:spacing w:before="120"/>
        <w:ind w:left="0" w:firstLine="0"/>
        <w:jc w:val="center"/>
      </w:pPr>
      <w:r w:rsidRPr="00A1590A">
        <w:rPr>
          <w:b/>
        </w:rPr>
        <w:t>Table 1.</w:t>
      </w:r>
      <w:r>
        <w:t xml:space="preserve"> Simulation assumptions</w:t>
      </w:r>
    </w:p>
    <w:p w14:paraId="4AA6B4DC" w14:textId="0F5243AF" w:rsidR="004625B7" w:rsidRDefault="00A1590A" w:rsidP="00E25978">
      <w:pPr>
        <w:pStyle w:val="B1"/>
        <w:ind w:left="0" w:firstLine="0"/>
        <w:jc w:val="both"/>
      </w:pPr>
      <w:r>
        <w:t>Table 2</w:t>
      </w:r>
      <w:r w:rsidR="00B872FE">
        <w:t xml:space="preserve"> shows the SLS results for VoIP, where the traffic model of VoIP follows </w:t>
      </w:r>
      <w:r w:rsidR="00B872FE" w:rsidRPr="00040DDE">
        <w:t>R1-070674</w:t>
      </w:r>
      <w:r w:rsidR="00A8629F">
        <w:t>, and the power consumptions at various power states are based on those agreed in RAN1#94bis</w:t>
      </w:r>
      <w:r w:rsidR="00B872FE">
        <w:t xml:space="preserve">. </w:t>
      </w:r>
      <w:r w:rsidR="004625B7">
        <w:t xml:space="preserve">The middle column of Table </w:t>
      </w:r>
      <w:r>
        <w:t>2</w:t>
      </w:r>
      <w:r w:rsidR="004625B7">
        <w:t xml:space="preserve"> shows the results when all UEs have 4 RX and the maximum number of DL MIMO layers fixed to be 4; the actual number of layers used for transmission depends on the channel condition of the UE. The right-most column shows the results when all UEs have 2 RX and the maximum number of DL MIMO layers equal to 2. Each UE is under the same simulation environment, e.g., channel condition, new packet arrival, etc., in these two simulations. In VoIP, a user is defined to have experienced an outage if less than 98% of the VoIP packets have been delivered successfully to the user within a one-way radio access delay around 50 msec. In the results, it is shown the outage rate is 0.238% and 0.952% when the number of RX are 4 and 2, respectively. Since the resource utilization is low, the outage is due to a bad channel condition. The average latency is almost the same for the two cases, but the average power consumption has substantial difference. This demonstrates the DL a</w:t>
      </w:r>
      <w:r w:rsidR="004625B7" w:rsidRPr="00414FD1">
        <w:t xml:space="preserve">ntenna scaling </w:t>
      </w:r>
      <w:r w:rsidR="004625B7">
        <w:t xml:space="preserve">of </w:t>
      </w:r>
      <w:r w:rsidR="004625B7" w:rsidRPr="00414FD1">
        <w:t>2R</w:t>
      </w:r>
      <w:r w:rsidR="004625B7">
        <w:t>X_</w:t>
      </w:r>
      <w:r w:rsidR="004625B7" w:rsidRPr="00414FD1">
        <w:t>power</w:t>
      </w:r>
      <w:r w:rsidR="004625B7">
        <w:t xml:space="preserve"> / </w:t>
      </w:r>
      <w:r w:rsidR="004625B7" w:rsidRPr="00414FD1">
        <w:t>4R</w:t>
      </w:r>
      <w:r w:rsidR="004625B7">
        <w:t>X_</w:t>
      </w:r>
      <w:r w:rsidR="004625B7" w:rsidRPr="00414FD1">
        <w:t>power</w:t>
      </w:r>
      <w:r w:rsidR="004625B7">
        <w:t xml:space="preserve"> = 0.7 provides an obvious power saving gain without incurring perceivable system performance loss. </w:t>
      </w:r>
    </w:p>
    <w:p w14:paraId="54228074" w14:textId="31F23D33" w:rsidR="004625B7" w:rsidRDefault="004625B7" w:rsidP="00E25978">
      <w:pPr>
        <w:pStyle w:val="B1"/>
        <w:spacing w:after="240"/>
        <w:ind w:left="0" w:firstLine="0"/>
        <w:jc w:val="both"/>
      </w:pPr>
      <w:r w:rsidRPr="00A769C4">
        <w:t xml:space="preserve">Table </w:t>
      </w:r>
      <w:r w:rsidR="00A1590A">
        <w:t>3</w:t>
      </w:r>
      <w:r w:rsidRPr="00A769C4">
        <w:t xml:space="preserve"> shows </w:t>
      </w:r>
      <w:r>
        <w:t>the r</w:t>
      </w:r>
      <w:r w:rsidRPr="00A769C4">
        <w:t xml:space="preserve">esults when the maximum number of MIMO layers is configured according to </w:t>
      </w:r>
      <w:r>
        <w:t>the</w:t>
      </w:r>
      <w:r w:rsidRPr="00A769C4">
        <w:t xml:space="preserve"> channel condition</w:t>
      </w:r>
      <w:r>
        <w:t xml:space="preserve"> of a UE. As shown in Table </w:t>
      </w:r>
      <w:r w:rsidR="00A1590A">
        <w:t>2</w:t>
      </w:r>
      <w:r>
        <w:t>, the number of UEs in outage are 8 when the maximum number of MIMO layers is 2. Therefore, these 8 UEs should use 4 RX to increase the success rate; thus the number of MIMO layers can be as large as 4, although the scheduler generally would not do such kind of scheduling due to the bad channel quality. It is seen the power saving gain resulting from UE adaptation of the maximum number of DL MIMO layers is more than 20% with little impact on the resource utilization. This is an evidence to show traffic with a small transport block size such as VoIP does not benefit much from a large number of MIMO layers. Moreover, from MIMO theory, a large number of MIMO layers is not helpful when a UE is in a low SINR or a poor multipath channel. In these cases, the maximum number of MIMO layers configured to the UE can be reduced to save UE power consumption.</w:t>
      </w:r>
    </w:p>
    <w:tbl>
      <w:tblPr>
        <w:tblStyle w:val="TableGrid"/>
        <w:tblW w:w="0" w:type="auto"/>
        <w:jc w:val="center"/>
        <w:tblLook w:val="04A0" w:firstRow="1" w:lastRow="0" w:firstColumn="1" w:lastColumn="0" w:noHBand="0" w:noVBand="1"/>
      </w:tblPr>
      <w:tblGrid>
        <w:gridCol w:w="3402"/>
        <w:gridCol w:w="2608"/>
        <w:gridCol w:w="2608"/>
      </w:tblGrid>
      <w:tr w:rsidR="00AD6775" w14:paraId="466DD724" w14:textId="77777777" w:rsidTr="00341D2E">
        <w:trPr>
          <w:jc w:val="center"/>
        </w:trPr>
        <w:tc>
          <w:tcPr>
            <w:tcW w:w="3402" w:type="dxa"/>
          </w:tcPr>
          <w:p w14:paraId="05A894C5" w14:textId="77777777" w:rsidR="00AD6775" w:rsidRPr="00AD6775" w:rsidRDefault="00AD6775" w:rsidP="00040DDE">
            <w:pPr>
              <w:overflowPunct/>
              <w:autoSpaceDE/>
              <w:autoSpaceDN/>
              <w:adjustRightInd/>
              <w:spacing w:after="0"/>
              <w:textAlignment w:val="auto"/>
              <w:rPr>
                <w:rFonts w:ascii="Times New Roman" w:hAnsi="Times New Roman"/>
                <w:szCs w:val="28"/>
              </w:rPr>
            </w:pPr>
          </w:p>
        </w:tc>
        <w:tc>
          <w:tcPr>
            <w:tcW w:w="2608" w:type="dxa"/>
          </w:tcPr>
          <w:p w14:paraId="2F6009A2" w14:textId="34F06EDC" w:rsidR="00AD6775" w:rsidRPr="00AD6775" w:rsidRDefault="00AD6775" w:rsidP="00341D2E">
            <w:pPr>
              <w:overflowPunct/>
              <w:autoSpaceDE/>
              <w:autoSpaceDN/>
              <w:adjustRightInd/>
              <w:spacing w:after="0"/>
              <w:textAlignment w:val="auto"/>
              <w:rPr>
                <w:rFonts w:ascii="Times New Roman" w:hAnsi="Times New Roman"/>
                <w:szCs w:val="28"/>
              </w:rPr>
            </w:pPr>
            <w:r w:rsidRPr="00AD6775">
              <w:rPr>
                <w:rFonts w:ascii="Times New Roman" w:hAnsi="Times New Roman"/>
                <w:szCs w:val="28"/>
              </w:rPr>
              <w:t xml:space="preserve">All UEs have </w:t>
            </w:r>
            <w:r w:rsidR="00341D2E">
              <w:rPr>
                <w:rFonts w:ascii="Times New Roman" w:hAnsi="Times New Roman"/>
                <w:szCs w:val="28"/>
              </w:rPr>
              <w:t xml:space="preserve">4 RX &amp; </w:t>
            </w:r>
            <w:r w:rsidRPr="00AD6775">
              <w:rPr>
                <w:rFonts w:ascii="Times New Roman" w:hAnsi="Times New Roman"/>
                <w:szCs w:val="28"/>
              </w:rPr>
              <w:t xml:space="preserve">max. num. of </w:t>
            </w:r>
            <w:r w:rsidR="00E52EC8">
              <w:rPr>
                <w:rFonts w:ascii="Times New Roman" w:hAnsi="Times New Roman"/>
                <w:szCs w:val="28"/>
              </w:rPr>
              <w:t xml:space="preserve">DL </w:t>
            </w:r>
            <w:r w:rsidRPr="00AD6775">
              <w:rPr>
                <w:rFonts w:ascii="Times New Roman" w:hAnsi="Times New Roman"/>
                <w:szCs w:val="28"/>
              </w:rPr>
              <w:t xml:space="preserve">MIMO layers = 4 </w:t>
            </w:r>
          </w:p>
        </w:tc>
        <w:tc>
          <w:tcPr>
            <w:tcW w:w="2608" w:type="dxa"/>
          </w:tcPr>
          <w:p w14:paraId="125E4AF2" w14:textId="1549F204" w:rsidR="00AD6775" w:rsidRPr="00AD6775" w:rsidRDefault="00AD6775" w:rsidP="00341D2E">
            <w:pPr>
              <w:overflowPunct/>
              <w:autoSpaceDE/>
              <w:autoSpaceDN/>
              <w:adjustRightInd/>
              <w:spacing w:after="0"/>
              <w:textAlignment w:val="auto"/>
              <w:rPr>
                <w:rFonts w:ascii="Times New Roman" w:hAnsi="Times New Roman"/>
                <w:szCs w:val="28"/>
              </w:rPr>
            </w:pPr>
            <w:r w:rsidRPr="00AD6775">
              <w:rPr>
                <w:rFonts w:ascii="Times New Roman" w:hAnsi="Times New Roman"/>
                <w:szCs w:val="28"/>
              </w:rPr>
              <w:t xml:space="preserve">All UEs have </w:t>
            </w:r>
            <w:r w:rsidR="00341D2E">
              <w:rPr>
                <w:rFonts w:ascii="Times New Roman" w:hAnsi="Times New Roman"/>
                <w:szCs w:val="28"/>
              </w:rPr>
              <w:t xml:space="preserve">2 RX &amp; </w:t>
            </w:r>
            <w:r w:rsidRPr="00AD6775">
              <w:rPr>
                <w:rFonts w:ascii="Times New Roman" w:hAnsi="Times New Roman"/>
                <w:szCs w:val="28"/>
              </w:rPr>
              <w:t xml:space="preserve">max. num. of </w:t>
            </w:r>
            <w:r w:rsidR="00E52EC8">
              <w:rPr>
                <w:rFonts w:ascii="Times New Roman" w:hAnsi="Times New Roman"/>
                <w:szCs w:val="28"/>
              </w:rPr>
              <w:t xml:space="preserve">DL </w:t>
            </w:r>
            <w:r w:rsidRPr="00AD6775">
              <w:rPr>
                <w:rFonts w:ascii="Times New Roman" w:hAnsi="Times New Roman"/>
                <w:szCs w:val="28"/>
              </w:rPr>
              <w:t>MIMO layers = 2</w:t>
            </w:r>
          </w:p>
        </w:tc>
      </w:tr>
      <w:tr w:rsidR="00AD6775" w14:paraId="4A23A837" w14:textId="77777777" w:rsidTr="00341D2E">
        <w:trPr>
          <w:jc w:val="center"/>
        </w:trPr>
        <w:tc>
          <w:tcPr>
            <w:tcW w:w="3402" w:type="dxa"/>
          </w:tcPr>
          <w:p w14:paraId="7EE366E0" w14:textId="0298D0A1" w:rsidR="00AD6775" w:rsidRPr="00AD6775" w:rsidRDefault="00AD6775" w:rsidP="00414FD1">
            <w:pPr>
              <w:overflowPunct/>
              <w:autoSpaceDE/>
              <w:autoSpaceDN/>
              <w:adjustRightInd/>
              <w:spacing w:after="0"/>
              <w:textAlignment w:val="auto"/>
              <w:rPr>
                <w:rFonts w:ascii="Times New Roman" w:hAnsi="Times New Roman"/>
                <w:szCs w:val="28"/>
              </w:rPr>
            </w:pPr>
            <w:r w:rsidRPr="00AD6775">
              <w:rPr>
                <w:rFonts w:ascii="Times New Roman" w:hAnsi="Times New Roman"/>
                <w:szCs w:val="28"/>
              </w:rPr>
              <w:t xml:space="preserve">UE </w:t>
            </w:r>
            <w:r w:rsidR="00414FD1">
              <w:rPr>
                <w:rFonts w:ascii="Times New Roman" w:hAnsi="Times New Roman"/>
                <w:szCs w:val="28"/>
              </w:rPr>
              <w:t>outage</w:t>
            </w:r>
            <w:r w:rsidRPr="00AD6775">
              <w:rPr>
                <w:rFonts w:ascii="Times New Roman" w:hAnsi="Times New Roman"/>
                <w:szCs w:val="28"/>
              </w:rPr>
              <w:t xml:space="preserve"> rate</w:t>
            </w:r>
          </w:p>
        </w:tc>
        <w:tc>
          <w:tcPr>
            <w:tcW w:w="2608" w:type="dxa"/>
          </w:tcPr>
          <w:p w14:paraId="74EEA7AB" w14:textId="19109853" w:rsidR="00AD6775" w:rsidRPr="00AD6775" w:rsidRDefault="00AD6775" w:rsidP="00040DDE">
            <w:pPr>
              <w:overflowPunct/>
              <w:autoSpaceDE/>
              <w:autoSpaceDN/>
              <w:adjustRightInd/>
              <w:spacing w:after="0"/>
              <w:jc w:val="center"/>
              <w:textAlignment w:val="auto"/>
              <w:rPr>
                <w:rFonts w:ascii="Times New Roman" w:hAnsi="Times New Roman"/>
                <w:szCs w:val="28"/>
              </w:rPr>
            </w:pPr>
            <w:r w:rsidRPr="00AD6775">
              <w:rPr>
                <w:rFonts w:ascii="Times New Roman" w:hAnsi="Times New Roman"/>
                <w:szCs w:val="28"/>
              </w:rPr>
              <w:t>0.238%</w:t>
            </w:r>
            <w:r w:rsidR="00040DDE">
              <w:rPr>
                <w:rFonts w:ascii="Times New Roman" w:hAnsi="Times New Roman"/>
                <w:szCs w:val="28"/>
              </w:rPr>
              <w:t xml:space="preserve"> (=2/840)</w:t>
            </w:r>
          </w:p>
        </w:tc>
        <w:tc>
          <w:tcPr>
            <w:tcW w:w="2608" w:type="dxa"/>
          </w:tcPr>
          <w:p w14:paraId="02A3348D" w14:textId="2CB05556" w:rsidR="00AD6775" w:rsidRPr="00AD6775" w:rsidRDefault="00AD6775" w:rsidP="00040DDE">
            <w:pPr>
              <w:overflowPunct/>
              <w:autoSpaceDE/>
              <w:autoSpaceDN/>
              <w:adjustRightInd/>
              <w:spacing w:after="0"/>
              <w:jc w:val="center"/>
              <w:textAlignment w:val="auto"/>
              <w:rPr>
                <w:rFonts w:ascii="Times New Roman" w:hAnsi="Times New Roman"/>
                <w:szCs w:val="28"/>
              </w:rPr>
            </w:pPr>
            <w:r w:rsidRPr="00AD6775">
              <w:rPr>
                <w:rFonts w:ascii="Times New Roman" w:hAnsi="Times New Roman"/>
                <w:szCs w:val="28"/>
              </w:rPr>
              <w:t>0.952%</w:t>
            </w:r>
            <w:r w:rsidR="00040DDE">
              <w:rPr>
                <w:rFonts w:ascii="Times New Roman" w:hAnsi="Times New Roman"/>
                <w:szCs w:val="28"/>
              </w:rPr>
              <w:t xml:space="preserve"> (=8/840)</w:t>
            </w:r>
          </w:p>
        </w:tc>
      </w:tr>
      <w:tr w:rsidR="00AD6775" w14:paraId="4AE6052A" w14:textId="77777777" w:rsidTr="00341D2E">
        <w:trPr>
          <w:jc w:val="center"/>
        </w:trPr>
        <w:tc>
          <w:tcPr>
            <w:tcW w:w="3402" w:type="dxa"/>
          </w:tcPr>
          <w:p w14:paraId="54F91927" w14:textId="046EC66E" w:rsidR="00AD6775" w:rsidRPr="00AD6775" w:rsidRDefault="00AD6775" w:rsidP="00040DDE">
            <w:pPr>
              <w:overflowPunct/>
              <w:autoSpaceDE/>
              <w:autoSpaceDN/>
              <w:adjustRightInd/>
              <w:spacing w:after="0"/>
              <w:textAlignment w:val="auto"/>
              <w:rPr>
                <w:rFonts w:ascii="Times New Roman" w:hAnsi="Times New Roman"/>
                <w:szCs w:val="28"/>
              </w:rPr>
            </w:pPr>
            <w:r w:rsidRPr="00AD6775">
              <w:rPr>
                <w:rFonts w:ascii="Times New Roman" w:hAnsi="Times New Roman"/>
                <w:szCs w:val="28"/>
              </w:rPr>
              <w:t>Resource utilization</w:t>
            </w:r>
          </w:p>
        </w:tc>
        <w:tc>
          <w:tcPr>
            <w:tcW w:w="2608" w:type="dxa"/>
          </w:tcPr>
          <w:p w14:paraId="7346CF79" w14:textId="4E200799" w:rsidR="00AD6775" w:rsidRPr="00AD6775" w:rsidRDefault="00AD6775" w:rsidP="00040DDE">
            <w:pPr>
              <w:overflowPunct/>
              <w:autoSpaceDE/>
              <w:autoSpaceDN/>
              <w:adjustRightInd/>
              <w:spacing w:after="0"/>
              <w:jc w:val="center"/>
              <w:textAlignment w:val="auto"/>
              <w:rPr>
                <w:rFonts w:ascii="Times New Roman" w:hAnsi="Times New Roman"/>
                <w:szCs w:val="28"/>
              </w:rPr>
            </w:pPr>
            <w:r w:rsidRPr="00AD6775">
              <w:rPr>
                <w:rFonts w:ascii="Times New Roman" w:hAnsi="Times New Roman"/>
                <w:szCs w:val="28"/>
              </w:rPr>
              <w:t>0.875%</w:t>
            </w:r>
          </w:p>
        </w:tc>
        <w:tc>
          <w:tcPr>
            <w:tcW w:w="2608" w:type="dxa"/>
          </w:tcPr>
          <w:p w14:paraId="7E923AC8" w14:textId="3DD04DED" w:rsidR="00AD6775" w:rsidRPr="00AD6775" w:rsidRDefault="00AD6775" w:rsidP="00040DDE">
            <w:pPr>
              <w:overflowPunct/>
              <w:autoSpaceDE/>
              <w:autoSpaceDN/>
              <w:adjustRightInd/>
              <w:spacing w:after="0"/>
              <w:jc w:val="center"/>
              <w:textAlignment w:val="auto"/>
              <w:rPr>
                <w:rFonts w:ascii="Times New Roman" w:hAnsi="Times New Roman"/>
                <w:szCs w:val="28"/>
              </w:rPr>
            </w:pPr>
            <w:r w:rsidRPr="00AD6775">
              <w:rPr>
                <w:rFonts w:ascii="Times New Roman" w:hAnsi="Times New Roman"/>
                <w:szCs w:val="28"/>
              </w:rPr>
              <w:t>0.943%</w:t>
            </w:r>
          </w:p>
        </w:tc>
      </w:tr>
      <w:tr w:rsidR="00AD6775" w14:paraId="4993D035" w14:textId="77777777" w:rsidTr="00341D2E">
        <w:trPr>
          <w:jc w:val="center"/>
        </w:trPr>
        <w:tc>
          <w:tcPr>
            <w:tcW w:w="3402" w:type="dxa"/>
          </w:tcPr>
          <w:p w14:paraId="7560F57F" w14:textId="7E6172AC" w:rsidR="00AD6775" w:rsidRPr="00AD6775" w:rsidRDefault="00AD6775" w:rsidP="00040DDE">
            <w:pPr>
              <w:overflowPunct/>
              <w:autoSpaceDE/>
              <w:autoSpaceDN/>
              <w:adjustRightInd/>
              <w:spacing w:after="0"/>
              <w:textAlignment w:val="auto"/>
              <w:rPr>
                <w:rFonts w:ascii="Times New Roman" w:hAnsi="Times New Roman"/>
                <w:szCs w:val="28"/>
              </w:rPr>
            </w:pPr>
            <w:r w:rsidRPr="00AD6775">
              <w:rPr>
                <w:rFonts w:ascii="Times New Roman" w:hAnsi="Times New Roman"/>
                <w:szCs w:val="28"/>
              </w:rPr>
              <w:t>Average latency (msec)</w:t>
            </w:r>
          </w:p>
        </w:tc>
        <w:tc>
          <w:tcPr>
            <w:tcW w:w="2608" w:type="dxa"/>
          </w:tcPr>
          <w:p w14:paraId="23B6EFCA" w14:textId="7B4A52AA" w:rsidR="00AD6775" w:rsidRPr="00AD6775" w:rsidRDefault="00AD6775" w:rsidP="00040DDE">
            <w:pPr>
              <w:overflowPunct/>
              <w:autoSpaceDE/>
              <w:autoSpaceDN/>
              <w:adjustRightInd/>
              <w:spacing w:after="0"/>
              <w:jc w:val="center"/>
              <w:textAlignment w:val="auto"/>
              <w:rPr>
                <w:rFonts w:ascii="Times New Roman" w:hAnsi="Times New Roman"/>
                <w:szCs w:val="28"/>
              </w:rPr>
            </w:pPr>
            <w:r w:rsidRPr="00AD6775">
              <w:rPr>
                <w:rFonts w:ascii="Times New Roman" w:hAnsi="Times New Roman"/>
                <w:szCs w:val="28"/>
              </w:rPr>
              <w:t>12.91</w:t>
            </w:r>
          </w:p>
        </w:tc>
        <w:tc>
          <w:tcPr>
            <w:tcW w:w="2608" w:type="dxa"/>
          </w:tcPr>
          <w:p w14:paraId="3C19EC87" w14:textId="6D522E3A" w:rsidR="00AD6775" w:rsidRPr="00AD6775" w:rsidRDefault="00AD6775" w:rsidP="00040DDE">
            <w:pPr>
              <w:overflowPunct/>
              <w:autoSpaceDE/>
              <w:autoSpaceDN/>
              <w:adjustRightInd/>
              <w:spacing w:after="0"/>
              <w:jc w:val="center"/>
              <w:textAlignment w:val="auto"/>
              <w:rPr>
                <w:rFonts w:ascii="Times New Roman" w:hAnsi="Times New Roman"/>
                <w:szCs w:val="28"/>
              </w:rPr>
            </w:pPr>
            <w:r w:rsidRPr="00AD6775">
              <w:rPr>
                <w:rFonts w:ascii="Times New Roman" w:hAnsi="Times New Roman"/>
                <w:szCs w:val="28"/>
              </w:rPr>
              <w:t>12.96</w:t>
            </w:r>
          </w:p>
        </w:tc>
      </w:tr>
      <w:tr w:rsidR="00AD6775" w14:paraId="2CA532E3" w14:textId="77777777" w:rsidTr="00341D2E">
        <w:trPr>
          <w:jc w:val="center"/>
        </w:trPr>
        <w:tc>
          <w:tcPr>
            <w:tcW w:w="3402" w:type="dxa"/>
          </w:tcPr>
          <w:p w14:paraId="46A760F0" w14:textId="7B440199" w:rsidR="00AD6775" w:rsidRPr="00AD6775" w:rsidRDefault="00AD6775" w:rsidP="00040DDE">
            <w:pPr>
              <w:overflowPunct/>
              <w:autoSpaceDE/>
              <w:autoSpaceDN/>
              <w:adjustRightInd/>
              <w:spacing w:after="0"/>
              <w:textAlignment w:val="auto"/>
              <w:rPr>
                <w:rFonts w:ascii="Times New Roman" w:hAnsi="Times New Roman"/>
                <w:szCs w:val="28"/>
              </w:rPr>
            </w:pPr>
            <w:r w:rsidRPr="00AD6775">
              <w:rPr>
                <w:rFonts w:ascii="Times New Roman" w:hAnsi="Times New Roman"/>
                <w:szCs w:val="28"/>
              </w:rPr>
              <w:t>Average power consumption</w:t>
            </w:r>
            <w:r>
              <w:rPr>
                <w:rFonts w:ascii="Times New Roman" w:hAnsi="Times New Roman"/>
                <w:szCs w:val="28"/>
              </w:rPr>
              <w:t xml:space="preserve"> (unit/TTI)</w:t>
            </w:r>
          </w:p>
        </w:tc>
        <w:tc>
          <w:tcPr>
            <w:tcW w:w="2608" w:type="dxa"/>
          </w:tcPr>
          <w:p w14:paraId="1E3EAF4E" w14:textId="7B792E5C" w:rsidR="00AD6775" w:rsidRPr="00AD6775" w:rsidRDefault="00AD6775" w:rsidP="00040DDE">
            <w:pPr>
              <w:overflowPunct/>
              <w:autoSpaceDE/>
              <w:autoSpaceDN/>
              <w:adjustRightInd/>
              <w:spacing w:after="0"/>
              <w:jc w:val="center"/>
              <w:textAlignment w:val="auto"/>
              <w:rPr>
                <w:rFonts w:ascii="Times New Roman" w:hAnsi="Times New Roman"/>
                <w:szCs w:val="28"/>
              </w:rPr>
            </w:pPr>
            <w:r w:rsidRPr="00AD6775">
              <w:rPr>
                <w:rFonts w:ascii="Times New Roman" w:hAnsi="Times New Roman"/>
                <w:szCs w:val="28"/>
              </w:rPr>
              <w:t>45.348</w:t>
            </w:r>
          </w:p>
        </w:tc>
        <w:tc>
          <w:tcPr>
            <w:tcW w:w="2608" w:type="dxa"/>
          </w:tcPr>
          <w:p w14:paraId="65D80E30" w14:textId="72F4859E" w:rsidR="00AD6775" w:rsidRPr="00AD6775" w:rsidRDefault="00AD6775" w:rsidP="00040DDE">
            <w:pPr>
              <w:overflowPunct/>
              <w:autoSpaceDE/>
              <w:autoSpaceDN/>
              <w:adjustRightInd/>
              <w:spacing w:after="0"/>
              <w:jc w:val="center"/>
              <w:textAlignment w:val="auto"/>
              <w:rPr>
                <w:rFonts w:ascii="Times New Roman" w:hAnsi="Times New Roman"/>
                <w:szCs w:val="28"/>
              </w:rPr>
            </w:pPr>
            <w:r w:rsidRPr="00AD6775">
              <w:rPr>
                <w:rFonts w:ascii="Times New Roman" w:hAnsi="Times New Roman"/>
                <w:szCs w:val="28"/>
              </w:rPr>
              <w:t>35.471</w:t>
            </w:r>
          </w:p>
        </w:tc>
      </w:tr>
    </w:tbl>
    <w:p w14:paraId="1B668C11" w14:textId="77C63C6C" w:rsidR="00AD6775" w:rsidRDefault="00040DDE" w:rsidP="00040DDE">
      <w:pPr>
        <w:overflowPunct/>
        <w:autoSpaceDE/>
        <w:autoSpaceDN/>
        <w:adjustRightInd/>
        <w:spacing w:before="60" w:after="240"/>
        <w:jc w:val="center"/>
        <w:textAlignment w:val="auto"/>
        <w:rPr>
          <w:rFonts w:ascii="Times New Roman" w:hAnsi="Times New Roman"/>
          <w:szCs w:val="28"/>
        </w:rPr>
      </w:pPr>
      <w:r w:rsidRPr="00040DDE">
        <w:rPr>
          <w:rFonts w:ascii="Times New Roman" w:hAnsi="Times New Roman"/>
          <w:b/>
          <w:szCs w:val="28"/>
        </w:rPr>
        <w:t xml:space="preserve">Table </w:t>
      </w:r>
      <w:r w:rsidR="00A1590A">
        <w:rPr>
          <w:rFonts w:ascii="Times New Roman" w:hAnsi="Times New Roman"/>
          <w:b/>
          <w:szCs w:val="28"/>
        </w:rPr>
        <w:t>2</w:t>
      </w:r>
      <w:r w:rsidRPr="00040DDE">
        <w:rPr>
          <w:rFonts w:ascii="Times New Roman" w:hAnsi="Times New Roman"/>
          <w:b/>
          <w:szCs w:val="28"/>
        </w:rPr>
        <w:t>.</w:t>
      </w:r>
      <w:r w:rsidRPr="00040DDE">
        <w:rPr>
          <w:rFonts w:ascii="Times New Roman" w:hAnsi="Times New Roman"/>
          <w:szCs w:val="28"/>
        </w:rPr>
        <w:t xml:space="preserve"> </w:t>
      </w:r>
      <w:r>
        <w:rPr>
          <w:rFonts w:ascii="Times New Roman" w:hAnsi="Times New Roman"/>
          <w:szCs w:val="28"/>
        </w:rPr>
        <w:t>SLS results for VoIP</w:t>
      </w:r>
    </w:p>
    <w:tbl>
      <w:tblPr>
        <w:tblStyle w:val="TableGrid"/>
        <w:tblW w:w="0" w:type="auto"/>
        <w:jc w:val="center"/>
        <w:tblLook w:val="04A0" w:firstRow="1" w:lastRow="0" w:firstColumn="1" w:lastColumn="0" w:noHBand="0" w:noVBand="1"/>
      </w:tblPr>
      <w:tblGrid>
        <w:gridCol w:w="3539"/>
        <w:gridCol w:w="3969"/>
      </w:tblGrid>
      <w:tr w:rsidR="004B25E5" w14:paraId="22B3E6F6" w14:textId="11E1660C" w:rsidTr="00E52EC8">
        <w:trPr>
          <w:jc w:val="center"/>
        </w:trPr>
        <w:tc>
          <w:tcPr>
            <w:tcW w:w="3539" w:type="dxa"/>
          </w:tcPr>
          <w:p w14:paraId="6CB65AF7" w14:textId="46AA2856" w:rsidR="004B25E5" w:rsidRPr="00AD6775" w:rsidRDefault="00B872FE" w:rsidP="00FC7E6B">
            <w:pPr>
              <w:overflowPunct/>
              <w:autoSpaceDE/>
              <w:autoSpaceDN/>
              <w:adjustRightInd/>
              <w:spacing w:after="0"/>
              <w:textAlignment w:val="auto"/>
              <w:rPr>
                <w:rFonts w:ascii="Times New Roman" w:hAnsi="Times New Roman"/>
                <w:szCs w:val="28"/>
              </w:rPr>
            </w:pPr>
            <w:r>
              <w:t xml:space="preserve"> </w:t>
            </w:r>
          </w:p>
        </w:tc>
        <w:tc>
          <w:tcPr>
            <w:tcW w:w="3969" w:type="dxa"/>
          </w:tcPr>
          <w:p w14:paraId="0F14A6F0" w14:textId="68D08015" w:rsidR="004B25E5" w:rsidRPr="00AD6775" w:rsidRDefault="004B25E5" w:rsidP="004B25E5">
            <w:pPr>
              <w:overflowPunct/>
              <w:autoSpaceDE/>
              <w:autoSpaceDN/>
              <w:adjustRightInd/>
              <w:spacing w:after="0"/>
              <w:textAlignment w:val="auto"/>
              <w:rPr>
                <w:rFonts w:ascii="Times New Roman" w:hAnsi="Times New Roman"/>
                <w:szCs w:val="28"/>
              </w:rPr>
            </w:pPr>
            <w:r>
              <w:rPr>
                <w:rFonts w:ascii="Times New Roman" w:hAnsi="Times New Roman"/>
                <w:szCs w:val="28"/>
              </w:rPr>
              <w:t>M</w:t>
            </w:r>
            <w:r w:rsidRPr="00AD6775">
              <w:rPr>
                <w:rFonts w:ascii="Times New Roman" w:hAnsi="Times New Roman"/>
                <w:szCs w:val="28"/>
              </w:rPr>
              <w:t xml:space="preserve">ax. num. of </w:t>
            </w:r>
            <w:r w:rsidR="00E52EC8">
              <w:rPr>
                <w:rFonts w:ascii="Times New Roman" w:hAnsi="Times New Roman"/>
                <w:szCs w:val="28"/>
              </w:rPr>
              <w:t xml:space="preserve">DL </w:t>
            </w:r>
            <w:r w:rsidRPr="00AD6775">
              <w:rPr>
                <w:rFonts w:ascii="Times New Roman" w:hAnsi="Times New Roman"/>
                <w:szCs w:val="28"/>
              </w:rPr>
              <w:t>MIMO layers</w:t>
            </w:r>
            <w:r>
              <w:rPr>
                <w:rFonts w:ascii="Times New Roman" w:hAnsi="Times New Roman"/>
                <w:szCs w:val="28"/>
              </w:rPr>
              <w:t xml:space="preserve"> configured according to channel condition</w:t>
            </w:r>
          </w:p>
        </w:tc>
      </w:tr>
      <w:tr w:rsidR="004B25E5" w14:paraId="4995B5F3" w14:textId="77777777" w:rsidTr="00E52EC8">
        <w:trPr>
          <w:jc w:val="center"/>
        </w:trPr>
        <w:tc>
          <w:tcPr>
            <w:tcW w:w="3539" w:type="dxa"/>
          </w:tcPr>
          <w:p w14:paraId="2BF43424" w14:textId="05FFBE8B" w:rsidR="004B25E5" w:rsidRPr="00AD6775" w:rsidRDefault="004B25E5" w:rsidP="00044847">
            <w:pPr>
              <w:overflowPunct/>
              <w:autoSpaceDE/>
              <w:autoSpaceDN/>
              <w:adjustRightInd/>
              <w:spacing w:after="0"/>
              <w:textAlignment w:val="auto"/>
              <w:rPr>
                <w:rFonts w:ascii="Times New Roman" w:hAnsi="Times New Roman"/>
                <w:szCs w:val="28"/>
              </w:rPr>
            </w:pPr>
            <w:r>
              <w:rPr>
                <w:rFonts w:ascii="Times New Roman" w:hAnsi="Times New Roman"/>
                <w:szCs w:val="28"/>
              </w:rPr>
              <w:t>Number of UEs with</w:t>
            </w:r>
            <w:r w:rsidR="00235866">
              <w:rPr>
                <w:rFonts w:ascii="Times New Roman" w:hAnsi="Times New Roman"/>
                <w:szCs w:val="28"/>
              </w:rPr>
              <w:t xml:space="preserve"> </w:t>
            </w:r>
            <w:r>
              <w:rPr>
                <w:rFonts w:ascii="Times New Roman" w:hAnsi="Times New Roman"/>
                <w:szCs w:val="28"/>
              </w:rPr>
              <w:t xml:space="preserve">max. number of </w:t>
            </w:r>
            <w:r w:rsidR="00A769C4">
              <w:rPr>
                <w:rFonts w:ascii="Times New Roman" w:hAnsi="Times New Roman"/>
                <w:szCs w:val="28"/>
              </w:rPr>
              <w:t xml:space="preserve">DL </w:t>
            </w:r>
            <w:r>
              <w:rPr>
                <w:rFonts w:ascii="Times New Roman" w:hAnsi="Times New Roman"/>
                <w:szCs w:val="28"/>
              </w:rPr>
              <w:t>MIMO layers = 4</w:t>
            </w:r>
          </w:p>
        </w:tc>
        <w:tc>
          <w:tcPr>
            <w:tcW w:w="3969" w:type="dxa"/>
            <w:vAlign w:val="center"/>
          </w:tcPr>
          <w:p w14:paraId="20E9EF80" w14:textId="08CF09D8" w:rsidR="004B25E5" w:rsidRDefault="004B25E5" w:rsidP="006732D1">
            <w:pPr>
              <w:overflowPunct/>
              <w:autoSpaceDE/>
              <w:autoSpaceDN/>
              <w:adjustRightInd/>
              <w:spacing w:after="0"/>
              <w:jc w:val="center"/>
              <w:textAlignment w:val="auto"/>
              <w:rPr>
                <w:rFonts w:ascii="Times New Roman" w:hAnsi="Times New Roman"/>
                <w:szCs w:val="28"/>
              </w:rPr>
            </w:pPr>
            <w:r>
              <w:rPr>
                <w:rFonts w:ascii="Times New Roman" w:hAnsi="Times New Roman"/>
                <w:szCs w:val="28"/>
              </w:rPr>
              <w:t>0.</w:t>
            </w:r>
            <w:r w:rsidR="006732D1">
              <w:rPr>
                <w:rFonts w:ascii="Times New Roman" w:hAnsi="Times New Roman"/>
                <w:szCs w:val="28"/>
              </w:rPr>
              <w:t>952</w:t>
            </w:r>
            <w:r>
              <w:rPr>
                <w:rFonts w:ascii="Times New Roman" w:hAnsi="Times New Roman"/>
                <w:szCs w:val="28"/>
              </w:rPr>
              <w:t>% (=</w:t>
            </w:r>
            <w:r w:rsidR="006732D1">
              <w:rPr>
                <w:rFonts w:ascii="Times New Roman" w:hAnsi="Times New Roman"/>
                <w:szCs w:val="28"/>
              </w:rPr>
              <w:t>8</w:t>
            </w:r>
            <w:r>
              <w:rPr>
                <w:rFonts w:ascii="Times New Roman" w:hAnsi="Times New Roman"/>
                <w:szCs w:val="28"/>
              </w:rPr>
              <w:t>/840)</w:t>
            </w:r>
          </w:p>
        </w:tc>
      </w:tr>
      <w:tr w:rsidR="004B25E5" w14:paraId="4237BA86" w14:textId="77777777" w:rsidTr="00E52EC8">
        <w:trPr>
          <w:jc w:val="center"/>
        </w:trPr>
        <w:tc>
          <w:tcPr>
            <w:tcW w:w="3539" w:type="dxa"/>
          </w:tcPr>
          <w:p w14:paraId="485F3AAF" w14:textId="3FD7EC35" w:rsidR="004B25E5" w:rsidRPr="00AD6775" w:rsidRDefault="004B25E5" w:rsidP="00044847">
            <w:pPr>
              <w:overflowPunct/>
              <w:autoSpaceDE/>
              <w:autoSpaceDN/>
              <w:adjustRightInd/>
              <w:spacing w:after="0"/>
              <w:textAlignment w:val="auto"/>
              <w:rPr>
                <w:rFonts w:ascii="Times New Roman" w:hAnsi="Times New Roman"/>
                <w:szCs w:val="28"/>
              </w:rPr>
            </w:pPr>
            <w:r>
              <w:rPr>
                <w:rFonts w:ascii="Times New Roman" w:hAnsi="Times New Roman"/>
                <w:szCs w:val="28"/>
              </w:rPr>
              <w:t>Number of UEs with</w:t>
            </w:r>
            <w:r w:rsidR="00044847">
              <w:rPr>
                <w:rFonts w:ascii="Times New Roman" w:hAnsi="Times New Roman"/>
                <w:szCs w:val="28"/>
              </w:rPr>
              <w:t xml:space="preserve"> </w:t>
            </w:r>
            <w:r>
              <w:rPr>
                <w:rFonts w:ascii="Times New Roman" w:hAnsi="Times New Roman"/>
                <w:szCs w:val="28"/>
              </w:rPr>
              <w:t xml:space="preserve">max. number of </w:t>
            </w:r>
            <w:r w:rsidR="00A769C4">
              <w:rPr>
                <w:rFonts w:ascii="Times New Roman" w:hAnsi="Times New Roman"/>
                <w:szCs w:val="28"/>
              </w:rPr>
              <w:t xml:space="preserve">DL </w:t>
            </w:r>
            <w:r>
              <w:rPr>
                <w:rFonts w:ascii="Times New Roman" w:hAnsi="Times New Roman"/>
                <w:szCs w:val="28"/>
              </w:rPr>
              <w:t>MIMO layers = 2</w:t>
            </w:r>
          </w:p>
        </w:tc>
        <w:tc>
          <w:tcPr>
            <w:tcW w:w="3969" w:type="dxa"/>
            <w:vAlign w:val="center"/>
          </w:tcPr>
          <w:p w14:paraId="5B540B06" w14:textId="411BC1EC" w:rsidR="004B25E5" w:rsidRDefault="004B25E5" w:rsidP="006732D1">
            <w:pPr>
              <w:overflowPunct/>
              <w:autoSpaceDE/>
              <w:autoSpaceDN/>
              <w:adjustRightInd/>
              <w:spacing w:after="0"/>
              <w:jc w:val="center"/>
              <w:textAlignment w:val="auto"/>
              <w:rPr>
                <w:rFonts w:ascii="Times New Roman" w:hAnsi="Times New Roman"/>
                <w:szCs w:val="28"/>
              </w:rPr>
            </w:pPr>
            <w:r>
              <w:rPr>
                <w:rFonts w:ascii="Times New Roman" w:hAnsi="Times New Roman"/>
                <w:szCs w:val="28"/>
              </w:rPr>
              <w:t>99.</w:t>
            </w:r>
            <w:r w:rsidR="006732D1">
              <w:rPr>
                <w:rFonts w:ascii="Times New Roman" w:hAnsi="Times New Roman"/>
                <w:szCs w:val="28"/>
              </w:rPr>
              <w:t>048</w:t>
            </w:r>
            <w:r>
              <w:rPr>
                <w:rFonts w:ascii="Times New Roman" w:hAnsi="Times New Roman"/>
                <w:szCs w:val="28"/>
              </w:rPr>
              <w:t>% (=83</w:t>
            </w:r>
            <w:r w:rsidR="006732D1">
              <w:rPr>
                <w:rFonts w:ascii="Times New Roman" w:hAnsi="Times New Roman"/>
                <w:szCs w:val="28"/>
              </w:rPr>
              <w:t>2</w:t>
            </w:r>
            <w:r>
              <w:rPr>
                <w:rFonts w:ascii="Times New Roman" w:hAnsi="Times New Roman"/>
                <w:szCs w:val="28"/>
              </w:rPr>
              <w:t>/840)</w:t>
            </w:r>
          </w:p>
        </w:tc>
      </w:tr>
      <w:tr w:rsidR="004B25E5" w14:paraId="1657363A" w14:textId="26551117" w:rsidTr="00E52EC8">
        <w:trPr>
          <w:jc w:val="center"/>
        </w:trPr>
        <w:tc>
          <w:tcPr>
            <w:tcW w:w="3539" w:type="dxa"/>
          </w:tcPr>
          <w:p w14:paraId="6AB01EFE" w14:textId="77777777" w:rsidR="004B25E5" w:rsidRPr="00AD6775" w:rsidRDefault="004B25E5" w:rsidP="00FC7E6B">
            <w:pPr>
              <w:overflowPunct/>
              <w:autoSpaceDE/>
              <w:autoSpaceDN/>
              <w:adjustRightInd/>
              <w:spacing w:after="0"/>
              <w:textAlignment w:val="auto"/>
              <w:rPr>
                <w:rFonts w:ascii="Times New Roman" w:hAnsi="Times New Roman"/>
                <w:szCs w:val="28"/>
              </w:rPr>
            </w:pPr>
            <w:r w:rsidRPr="00AD6775">
              <w:rPr>
                <w:rFonts w:ascii="Times New Roman" w:hAnsi="Times New Roman"/>
                <w:szCs w:val="28"/>
              </w:rPr>
              <w:t xml:space="preserve">UE </w:t>
            </w:r>
            <w:r>
              <w:rPr>
                <w:rFonts w:ascii="Times New Roman" w:hAnsi="Times New Roman"/>
                <w:szCs w:val="28"/>
              </w:rPr>
              <w:t>outage</w:t>
            </w:r>
            <w:r w:rsidRPr="00AD6775">
              <w:rPr>
                <w:rFonts w:ascii="Times New Roman" w:hAnsi="Times New Roman"/>
                <w:szCs w:val="28"/>
              </w:rPr>
              <w:t xml:space="preserve"> rate</w:t>
            </w:r>
          </w:p>
        </w:tc>
        <w:tc>
          <w:tcPr>
            <w:tcW w:w="3969" w:type="dxa"/>
          </w:tcPr>
          <w:p w14:paraId="287D7945" w14:textId="5C2134EF" w:rsidR="004B25E5" w:rsidRPr="00AD6775" w:rsidRDefault="004B25E5" w:rsidP="00FC7E6B">
            <w:pPr>
              <w:overflowPunct/>
              <w:autoSpaceDE/>
              <w:autoSpaceDN/>
              <w:adjustRightInd/>
              <w:spacing w:after="0"/>
              <w:jc w:val="center"/>
              <w:textAlignment w:val="auto"/>
              <w:rPr>
                <w:rFonts w:ascii="Times New Roman" w:hAnsi="Times New Roman"/>
                <w:szCs w:val="28"/>
              </w:rPr>
            </w:pPr>
            <w:r>
              <w:rPr>
                <w:rFonts w:ascii="Times New Roman" w:hAnsi="Times New Roman"/>
                <w:szCs w:val="28"/>
              </w:rPr>
              <w:t xml:space="preserve">Around </w:t>
            </w:r>
            <w:r w:rsidRPr="00AD6775">
              <w:rPr>
                <w:rFonts w:ascii="Times New Roman" w:hAnsi="Times New Roman"/>
                <w:szCs w:val="28"/>
              </w:rPr>
              <w:t>0.238%</w:t>
            </w:r>
          </w:p>
        </w:tc>
      </w:tr>
      <w:tr w:rsidR="004B25E5" w14:paraId="06A2A5FF" w14:textId="70A224B4" w:rsidTr="00E52EC8">
        <w:trPr>
          <w:jc w:val="center"/>
        </w:trPr>
        <w:tc>
          <w:tcPr>
            <w:tcW w:w="3539" w:type="dxa"/>
          </w:tcPr>
          <w:p w14:paraId="2AC81F3F" w14:textId="77777777" w:rsidR="004B25E5" w:rsidRPr="00AD6775" w:rsidRDefault="004B25E5" w:rsidP="00FC7E6B">
            <w:pPr>
              <w:overflowPunct/>
              <w:autoSpaceDE/>
              <w:autoSpaceDN/>
              <w:adjustRightInd/>
              <w:spacing w:after="0"/>
              <w:textAlignment w:val="auto"/>
              <w:rPr>
                <w:rFonts w:ascii="Times New Roman" w:hAnsi="Times New Roman"/>
                <w:szCs w:val="28"/>
              </w:rPr>
            </w:pPr>
            <w:r w:rsidRPr="00AD6775">
              <w:rPr>
                <w:rFonts w:ascii="Times New Roman" w:hAnsi="Times New Roman"/>
                <w:szCs w:val="28"/>
              </w:rPr>
              <w:t>Resource utilization</w:t>
            </w:r>
          </w:p>
        </w:tc>
        <w:tc>
          <w:tcPr>
            <w:tcW w:w="3969" w:type="dxa"/>
          </w:tcPr>
          <w:p w14:paraId="17670906" w14:textId="69A84E59" w:rsidR="004B25E5" w:rsidRPr="00AD6775" w:rsidRDefault="004B25E5" w:rsidP="00FC7E6B">
            <w:pPr>
              <w:overflowPunct/>
              <w:autoSpaceDE/>
              <w:autoSpaceDN/>
              <w:adjustRightInd/>
              <w:spacing w:after="0"/>
              <w:jc w:val="center"/>
              <w:textAlignment w:val="auto"/>
              <w:rPr>
                <w:rFonts w:ascii="Times New Roman" w:hAnsi="Times New Roman"/>
                <w:szCs w:val="28"/>
              </w:rPr>
            </w:pPr>
            <w:r>
              <w:rPr>
                <w:rFonts w:ascii="Times New Roman" w:hAnsi="Times New Roman"/>
                <w:szCs w:val="28"/>
              </w:rPr>
              <w:t>Between 0.875% and 0.943%</w:t>
            </w:r>
          </w:p>
        </w:tc>
      </w:tr>
      <w:tr w:rsidR="004B25E5" w14:paraId="13954C71" w14:textId="66D1F9ED" w:rsidTr="00E52EC8">
        <w:trPr>
          <w:jc w:val="center"/>
        </w:trPr>
        <w:tc>
          <w:tcPr>
            <w:tcW w:w="3539" w:type="dxa"/>
          </w:tcPr>
          <w:p w14:paraId="28C6ED52" w14:textId="77777777" w:rsidR="004B25E5" w:rsidRPr="00AD6775" w:rsidRDefault="004B25E5" w:rsidP="00FC7E6B">
            <w:pPr>
              <w:overflowPunct/>
              <w:autoSpaceDE/>
              <w:autoSpaceDN/>
              <w:adjustRightInd/>
              <w:spacing w:after="0"/>
              <w:textAlignment w:val="auto"/>
              <w:rPr>
                <w:rFonts w:ascii="Times New Roman" w:hAnsi="Times New Roman"/>
                <w:szCs w:val="28"/>
              </w:rPr>
            </w:pPr>
            <w:r w:rsidRPr="00AD6775">
              <w:rPr>
                <w:rFonts w:ascii="Times New Roman" w:hAnsi="Times New Roman"/>
                <w:szCs w:val="28"/>
              </w:rPr>
              <w:t>Average latency (msec)</w:t>
            </w:r>
          </w:p>
        </w:tc>
        <w:tc>
          <w:tcPr>
            <w:tcW w:w="3969" w:type="dxa"/>
          </w:tcPr>
          <w:p w14:paraId="206DF5A1" w14:textId="397529D7" w:rsidR="004B25E5" w:rsidRPr="00AD6775" w:rsidRDefault="004B25E5" w:rsidP="004B25E5">
            <w:pPr>
              <w:overflowPunct/>
              <w:autoSpaceDE/>
              <w:autoSpaceDN/>
              <w:adjustRightInd/>
              <w:spacing w:after="0"/>
              <w:jc w:val="center"/>
              <w:textAlignment w:val="auto"/>
              <w:rPr>
                <w:rFonts w:ascii="Times New Roman" w:hAnsi="Times New Roman"/>
                <w:szCs w:val="28"/>
              </w:rPr>
            </w:pPr>
            <w:r>
              <w:rPr>
                <w:rFonts w:ascii="Times New Roman" w:hAnsi="Times New Roman"/>
                <w:szCs w:val="28"/>
              </w:rPr>
              <w:t xml:space="preserve">Between 12.91 and 12.96 </w:t>
            </w:r>
          </w:p>
        </w:tc>
      </w:tr>
      <w:tr w:rsidR="004B25E5" w14:paraId="033F3E1A" w14:textId="3574F6FC" w:rsidTr="00E52EC8">
        <w:trPr>
          <w:jc w:val="center"/>
        </w:trPr>
        <w:tc>
          <w:tcPr>
            <w:tcW w:w="3539" w:type="dxa"/>
          </w:tcPr>
          <w:p w14:paraId="61A24B0A" w14:textId="77777777" w:rsidR="004B25E5" w:rsidRPr="00AD6775" w:rsidRDefault="004B25E5" w:rsidP="00FC7E6B">
            <w:pPr>
              <w:overflowPunct/>
              <w:autoSpaceDE/>
              <w:autoSpaceDN/>
              <w:adjustRightInd/>
              <w:spacing w:after="0"/>
              <w:textAlignment w:val="auto"/>
              <w:rPr>
                <w:rFonts w:ascii="Times New Roman" w:hAnsi="Times New Roman"/>
                <w:szCs w:val="28"/>
              </w:rPr>
            </w:pPr>
            <w:r w:rsidRPr="00AD6775">
              <w:rPr>
                <w:rFonts w:ascii="Times New Roman" w:hAnsi="Times New Roman"/>
                <w:szCs w:val="28"/>
              </w:rPr>
              <w:t>Average power consumption</w:t>
            </w:r>
            <w:r>
              <w:rPr>
                <w:rFonts w:ascii="Times New Roman" w:hAnsi="Times New Roman"/>
                <w:szCs w:val="28"/>
              </w:rPr>
              <w:t xml:space="preserve"> (unit/TTI)</w:t>
            </w:r>
          </w:p>
        </w:tc>
        <w:tc>
          <w:tcPr>
            <w:tcW w:w="3969" w:type="dxa"/>
          </w:tcPr>
          <w:p w14:paraId="6333DEB0" w14:textId="5F24C113" w:rsidR="004B25E5" w:rsidRPr="00AD6775" w:rsidRDefault="00177742" w:rsidP="00FC7E6B">
            <w:pPr>
              <w:overflowPunct/>
              <w:autoSpaceDE/>
              <w:autoSpaceDN/>
              <w:adjustRightInd/>
              <w:spacing w:after="0"/>
              <w:jc w:val="center"/>
              <w:textAlignment w:val="auto"/>
              <w:rPr>
                <w:rFonts w:ascii="Times New Roman" w:hAnsi="Times New Roman"/>
                <w:szCs w:val="28"/>
              </w:rPr>
            </w:pPr>
            <w:r>
              <w:rPr>
                <w:rFonts w:ascii="Times New Roman" w:hAnsi="Times New Roman"/>
                <w:szCs w:val="28"/>
              </w:rPr>
              <w:t>35.565</w:t>
            </w:r>
          </w:p>
        </w:tc>
      </w:tr>
      <w:tr w:rsidR="00C86264" w14:paraId="4AC782EA" w14:textId="77777777" w:rsidTr="00C86264">
        <w:trPr>
          <w:jc w:val="center"/>
        </w:trPr>
        <w:tc>
          <w:tcPr>
            <w:tcW w:w="3539" w:type="dxa"/>
          </w:tcPr>
          <w:p w14:paraId="2F39C643" w14:textId="4C534403" w:rsidR="00C86264" w:rsidRPr="00AD6775" w:rsidRDefault="00C86264" w:rsidP="00C86264">
            <w:pPr>
              <w:overflowPunct/>
              <w:autoSpaceDE/>
              <w:autoSpaceDN/>
              <w:adjustRightInd/>
              <w:spacing w:after="0"/>
              <w:textAlignment w:val="auto"/>
              <w:rPr>
                <w:rFonts w:ascii="Times New Roman" w:hAnsi="Times New Roman"/>
                <w:szCs w:val="28"/>
              </w:rPr>
            </w:pPr>
            <w:r>
              <w:rPr>
                <w:rFonts w:ascii="Times New Roman" w:hAnsi="Times New Roman"/>
                <w:szCs w:val="28"/>
              </w:rPr>
              <w:t xml:space="preserve">Power saving gain w.r.t. max. num. of </w:t>
            </w:r>
            <w:r w:rsidR="008F226B">
              <w:rPr>
                <w:rFonts w:ascii="Times New Roman" w:hAnsi="Times New Roman"/>
                <w:szCs w:val="28"/>
              </w:rPr>
              <w:t xml:space="preserve">DL </w:t>
            </w:r>
            <w:r>
              <w:rPr>
                <w:rFonts w:ascii="Times New Roman" w:hAnsi="Times New Roman"/>
                <w:szCs w:val="28"/>
              </w:rPr>
              <w:t xml:space="preserve">MIMO layers fixed as 4 </w:t>
            </w:r>
          </w:p>
        </w:tc>
        <w:tc>
          <w:tcPr>
            <w:tcW w:w="3969" w:type="dxa"/>
            <w:vAlign w:val="center"/>
          </w:tcPr>
          <w:p w14:paraId="5677BE2C" w14:textId="44E23032" w:rsidR="00C86264" w:rsidRDefault="00C86264" w:rsidP="00294C99">
            <w:pPr>
              <w:overflowPunct/>
              <w:autoSpaceDE/>
              <w:autoSpaceDN/>
              <w:adjustRightInd/>
              <w:spacing w:after="0"/>
              <w:jc w:val="center"/>
              <w:textAlignment w:val="auto"/>
              <w:rPr>
                <w:rFonts w:ascii="Times New Roman" w:hAnsi="Times New Roman"/>
                <w:szCs w:val="28"/>
              </w:rPr>
            </w:pPr>
            <w:r>
              <w:rPr>
                <w:rFonts w:ascii="Times New Roman" w:hAnsi="Times New Roman"/>
                <w:szCs w:val="28"/>
              </w:rPr>
              <w:t>21.6% (=(45.348-36.565)/45.346)</w:t>
            </w:r>
          </w:p>
        </w:tc>
      </w:tr>
    </w:tbl>
    <w:p w14:paraId="3CF997D4" w14:textId="734F41AC" w:rsidR="009A3C1C" w:rsidRDefault="00E52EC8" w:rsidP="00E52EC8">
      <w:pPr>
        <w:overflowPunct/>
        <w:autoSpaceDE/>
        <w:autoSpaceDN/>
        <w:adjustRightInd/>
        <w:spacing w:before="60" w:after="240"/>
        <w:jc w:val="center"/>
        <w:textAlignment w:val="auto"/>
        <w:rPr>
          <w:rFonts w:ascii="Times New Roman" w:hAnsi="Times New Roman"/>
          <w:b/>
          <w:szCs w:val="32"/>
        </w:rPr>
      </w:pPr>
      <w:r w:rsidRPr="00E52EC8">
        <w:rPr>
          <w:rFonts w:ascii="Times New Roman" w:hAnsi="Times New Roman"/>
          <w:b/>
          <w:szCs w:val="32"/>
        </w:rPr>
        <w:t xml:space="preserve">Table </w:t>
      </w:r>
      <w:r w:rsidR="00A1590A">
        <w:rPr>
          <w:rFonts w:ascii="Times New Roman" w:hAnsi="Times New Roman"/>
          <w:b/>
          <w:szCs w:val="32"/>
        </w:rPr>
        <w:t>3</w:t>
      </w:r>
      <w:r w:rsidRPr="00E52EC8">
        <w:rPr>
          <w:rFonts w:ascii="Times New Roman" w:hAnsi="Times New Roman"/>
          <w:b/>
          <w:szCs w:val="32"/>
        </w:rPr>
        <w:t>.</w:t>
      </w:r>
      <w:r>
        <w:rPr>
          <w:rFonts w:ascii="Times New Roman" w:hAnsi="Times New Roman"/>
          <w:b/>
          <w:szCs w:val="32"/>
        </w:rPr>
        <w:t xml:space="preserve"> </w:t>
      </w:r>
      <w:r w:rsidR="00A769C4" w:rsidRPr="00A769C4">
        <w:rPr>
          <w:rFonts w:ascii="Times New Roman" w:hAnsi="Times New Roman"/>
          <w:szCs w:val="32"/>
        </w:rPr>
        <w:t xml:space="preserve">Results </w:t>
      </w:r>
      <w:r w:rsidRPr="00A769C4">
        <w:rPr>
          <w:rFonts w:ascii="Times New Roman" w:hAnsi="Times New Roman"/>
          <w:szCs w:val="32"/>
        </w:rPr>
        <w:t xml:space="preserve">when the maximum number of </w:t>
      </w:r>
      <w:r w:rsidR="00A769C4">
        <w:rPr>
          <w:rFonts w:ascii="Times New Roman" w:hAnsi="Times New Roman"/>
          <w:szCs w:val="32"/>
        </w:rPr>
        <w:t xml:space="preserve">DL </w:t>
      </w:r>
      <w:r w:rsidRPr="00A769C4">
        <w:rPr>
          <w:rFonts w:ascii="Times New Roman" w:hAnsi="Times New Roman"/>
          <w:szCs w:val="32"/>
        </w:rPr>
        <w:t>MIMO layers</w:t>
      </w:r>
      <w:r w:rsidR="00A769C4" w:rsidRPr="00A769C4">
        <w:rPr>
          <w:rFonts w:ascii="Times New Roman" w:hAnsi="Times New Roman"/>
          <w:szCs w:val="32"/>
        </w:rPr>
        <w:t xml:space="preserve"> is configured according to UE channel condition</w:t>
      </w:r>
      <w:r>
        <w:rPr>
          <w:rFonts w:ascii="Times New Roman" w:hAnsi="Times New Roman"/>
          <w:b/>
          <w:szCs w:val="32"/>
        </w:rPr>
        <w:t xml:space="preserve"> </w:t>
      </w:r>
    </w:p>
    <w:p w14:paraId="224ABFE6" w14:textId="47C573BE" w:rsidR="003B6854" w:rsidRDefault="00822950" w:rsidP="00822950">
      <w:pPr>
        <w:pStyle w:val="Caption"/>
      </w:pPr>
      <w:r>
        <w:t xml:space="preserve">Observation </w:t>
      </w:r>
      <w:r w:rsidR="009A66EC">
        <w:t>4</w:t>
      </w:r>
      <w:r>
        <w:t>: A large number of MIMO layers is not helpful when a) transport block size is small, b) UE is in a low S</w:t>
      </w:r>
      <w:r w:rsidR="004107C8">
        <w:t>I</w:t>
      </w:r>
      <w:r>
        <w:t>NR</w:t>
      </w:r>
      <w:r w:rsidR="004107C8">
        <w:t xml:space="preserve"> region</w:t>
      </w:r>
      <w:r>
        <w:t>, and c) UE is not in rich multipath channel. In these cases, the maximum number of MIMO layers can be reduced to save UE power consumption.</w:t>
      </w:r>
    </w:p>
    <w:p w14:paraId="215B7517" w14:textId="4A9059E9" w:rsidR="004107C8" w:rsidRDefault="00253E16" w:rsidP="00253E16">
      <w:pPr>
        <w:pStyle w:val="B1"/>
        <w:ind w:left="0" w:firstLine="0"/>
        <w:jc w:val="both"/>
      </w:pPr>
      <w:r w:rsidRPr="00253E16">
        <w:t xml:space="preserve">It may be argued that configuration of the maximum number of DL MIMO layers is not necessary since the number of MIMO layers in data transmission depends on the CSI feedback from UE; thus, the number of MIMO layers in PDSCH can be restricted to a small value by conservative UE CSI feedback. This is not true because the network may also obtain the downlink CSI from SRS by means of the channel reciprocity property. On the other hand, even when UE reports RI=4, </w:t>
      </w:r>
      <w:r>
        <w:t xml:space="preserve">gNB can still configure the maximum number of MIMO layers equal to 2 to save UE power, as it has been shown above that in certain environments there is no perceivable performance difference in 2 and 4 layers. </w:t>
      </w:r>
    </w:p>
    <w:p w14:paraId="6A2F096E" w14:textId="53F0C774" w:rsidR="009378EE" w:rsidRPr="009D1537" w:rsidRDefault="009378EE" w:rsidP="00E835F3">
      <w:pPr>
        <w:pStyle w:val="Heading2"/>
        <w:spacing w:before="240"/>
      </w:pPr>
      <w:r w:rsidRPr="009D1537">
        <w:t xml:space="preserve">2.2 Based on </w:t>
      </w:r>
      <w:r w:rsidR="00765D65" w:rsidRPr="009D1537">
        <w:t xml:space="preserve">a new framework: </w:t>
      </w:r>
      <w:r w:rsidR="00714386">
        <w:t xml:space="preserve">BWP + </w:t>
      </w:r>
      <w:r w:rsidRPr="009D1537">
        <w:t>Power profile</w:t>
      </w:r>
    </w:p>
    <w:p w14:paraId="638BBCC5" w14:textId="02843E3E" w:rsidR="0063352E" w:rsidRDefault="0063352E" w:rsidP="00E25978">
      <w:pPr>
        <w:pStyle w:val="B1"/>
        <w:ind w:left="0" w:firstLine="0"/>
        <w:jc w:val="both"/>
      </w:pPr>
      <w:r>
        <w:t xml:space="preserve">The second method of configuration is based on the combination of BWP and power profile. The cases of single cell and carrier aggregation will be discussed below separately. </w:t>
      </w:r>
    </w:p>
    <w:p w14:paraId="3F043F70" w14:textId="77777777" w:rsidR="002318F3" w:rsidRDefault="002318F3" w:rsidP="00E25978">
      <w:pPr>
        <w:pStyle w:val="B1"/>
        <w:ind w:left="0" w:firstLine="0"/>
        <w:jc w:val="both"/>
      </w:pPr>
      <w:r>
        <w:t>Due</w:t>
      </w:r>
      <w:r w:rsidRPr="001B23BD">
        <w:t xml:space="preserve"> to </w:t>
      </w:r>
      <w:r>
        <w:t xml:space="preserve">the drawbacks of power consumption configuration based on BWP identified in the last section, a configuration method based on </w:t>
      </w:r>
      <w:r w:rsidRPr="00C778DD">
        <w:t xml:space="preserve">hybrid of </w:t>
      </w:r>
      <w:r w:rsidRPr="00C778DD">
        <w:rPr>
          <w:rStyle w:val="Emphasis"/>
        </w:rPr>
        <w:t>BWP</w:t>
      </w:r>
      <w:r w:rsidRPr="00C778DD">
        <w:t xml:space="preserve"> and </w:t>
      </w:r>
      <w:r w:rsidRPr="00C778DD">
        <w:rPr>
          <w:rStyle w:val="Emphasis"/>
        </w:rPr>
        <w:t>power profile</w:t>
      </w:r>
      <w:r>
        <w:t xml:space="preserve"> is introduced here. A power profile comprises a set of restrictions on the indicated values of parameters which are power consumption relevant. Each power profile targets for a particular traffic characteristic. See an </w:t>
      </w:r>
      <w:r w:rsidRPr="005431A1">
        <w:t xml:space="preserve">illustration </w:t>
      </w:r>
      <w:r>
        <w:t xml:space="preserve">of power profile </w:t>
      </w:r>
      <w:r w:rsidRPr="005431A1">
        <w:t xml:space="preserve">in Figure 4. </w:t>
      </w:r>
      <w:r>
        <w:t xml:space="preserve">In the figure, Parameter 1, Parameter 2, Parameter 3, etc. are a set of higher layer parameters. In power profiles, indicated values of some parameters are restricted to a smaller range. For instance, in power profile 1, the range of Parameter 2 is restricted to [1, 2], a subset of the original range [1, 8]. </w:t>
      </w:r>
    </w:p>
    <w:p w14:paraId="2130F488" w14:textId="77777777" w:rsidR="002318F3" w:rsidRPr="001B23BD" w:rsidRDefault="002318F3" w:rsidP="00E25978">
      <w:pPr>
        <w:pStyle w:val="B1"/>
        <w:ind w:left="0" w:firstLine="0"/>
        <w:jc w:val="both"/>
      </w:pPr>
      <w:r w:rsidRPr="005431A1">
        <w:t>The</w:t>
      </w:r>
      <w:r>
        <w:t xml:space="preserve"> motivation for power profile is achieving power saving by means of limiting the ranges of indicated values. For instance, if the processing time </w:t>
      </w:r>
      <w:r w:rsidRPr="008E53CD">
        <w:rPr>
          <w:i/>
        </w:rPr>
        <w:t>K</w:t>
      </w:r>
      <w:r w:rsidRPr="008E53CD">
        <w:rPr>
          <w:vertAlign w:val="subscript"/>
        </w:rPr>
        <w:t>0</w:t>
      </w:r>
      <w:r>
        <w:t xml:space="preserve"> is always larger than 0 (i.e., cross-slot scheduling is used all the time), the UE can reduce the clock rate in processing PDCCH and reduces power consumption accordingly. </w:t>
      </w:r>
    </w:p>
    <w:p w14:paraId="6D72566F" w14:textId="42D5301C" w:rsidR="004C2216" w:rsidRDefault="00340456" w:rsidP="004C2216">
      <w:pPr>
        <w:overflowPunct/>
        <w:autoSpaceDE/>
        <w:autoSpaceDN/>
        <w:adjustRightInd/>
        <w:spacing w:before="240" w:after="120"/>
        <w:jc w:val="center"/>
        <w:textAlignment w:val="auto"/>
        <w:rPr>
          <w:rFonts w:ascii="Times New Roman" w:hAnsi="Times New Roman"/>
        </w:rPr>
      </w:pPr>
      <w:r>
        <w:rPr>
          <w:rFonts w:ascii="Times New Roman" w:hAnsi="Times New Roman"/>
          <w:noProof/>
          <w:lang w:val="en-US" w:eastAsia="zh-CN"/>
        </w:rPr>
        <w:lastRenderedPageBreak/>
        <w:drawing>
          <wp:inline distT="0" distB="0" distL="0" distR="0" wp14:anchorId="477CF1AD" wp14:editId="7E9F5D8F">
            <wp:extent cx="6184900" cy="21209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84900" cy="2120900"/>
                    </a:xfrm>
                    <a:prstGeom prst="rect">
                      <a:avLst/>
                    </a:prstGeom>
                    <a:noFill/>
                    <a:ln>
                      <a:noFill/>
                    </a:ln>
                  </pic:spPr>
                </pic:pic>
              </a:graphicData>
            </a:graphic>
          </wp:inline>
        </w:drawing>
      </w:r>
    </w:p>
    <w:p w14:paraId="1D2D3968" w14:textId="1EDE1472" w:rsidR="004C2216" w:rsidRDefault="004C2216" w:rsidP="004C2216">
      <w:pPr>
        <w:overflowPunct/>
        <w:autoSpaceDE/>
        <w:autoSpaceDN/>
        <w:adjustRightInd/>
        <w:spacing w:before="120" w:after="240"/>
        <w:jc w:val="center"/>
        <w:textAlignment w:val="auto"/>
        <w:rPr>
          <w:rFonts w:ascii="Times New Roman" w:hAnsi="Times New Roman"/>
        </w:rPr>
      </w:pPr>
      <w:r w:rsidRPr="004C2216">
        <w:rPr>
          <w:rFonts w:ascii="Times New Roman" w:hAnsi="Times New Roman"/>
          <w:b/>
        </w:rPr>
        <w:t>Figure 4.</w:t>
      </w:r>
      <w:r w:rsidR="00340456">
        <w:rPr>
          <w:rFonts w:ascii="Times New Roman" w:hAnsi="Times New Roman"/>
        </w:rPr>
        <w:t xml:space="preserve"> P</w:t>
      </w:r>
      <w:r>
        <w:rPr>
          <w:rFonts w:ascii="Times New Roman" w:hAnsi="Times New Roman"/>
        </w:rPr>
        <w:t>ower profile</w:t>
      </w:r>
      <w:r w:rsidR="00340456">
        <w:rPr>
          <w:rFonts w:ascii="Times New Roman" w:hAnsi="Times New Roman"/>
        </w:rPr>
        <w:t>s</w:t>
      </w:r>
    </w:p>
    <w:p w14:paraId="2102866E" w14:textId="1F35531D" w:rsidR="002318F3" w:rsidRDefault="009A66EC" w:rsidP="002318F3">
      <w:pPr>
        <w:pStyle w:val="Caption"/>
      </w:pPr>
      <w:r>
        <w:t>Proposal</w:t>
      </w:r>
      <w:r w:rsidR="002318F3">
        <w:t xml:space="preserve"> </w:t>
      </w:r>
      <w:r>
        <w:t>4</w:t>
      </w:r>
      <w:r w:rsidR="002318F3">
        <w:t>: A power profile comprises a set of restrictions on the indicated values of power consumption relevant parameters. Its motivation is achieving power saving by means of limiting the ranges of indicated values.</w:t>
      </w:r>
    </w:p>
    <w:p w14:paraId="540AC5A7" w14:textId="03F6C3A9" w:rsidR="009649A0" w:rsidRDefault="009649A0" w:rsidP="00E835F3">
      <w:pPr>
        <w:pStyle w:val="Heading3"/>
        <w:spacing w:before="240"/>
      </w:pPr>
      <w:r w:rsidRPr="00B7791F">
        <w:t>2.</w:t>
      </w:r>
      <w:r>
        <w:t>2</w:t>
      </w:r>
      <w:r w:rsidRPr="00B7791F">
        <w:t>.1 Single cell</w:t>
      </w:r>
    </w:p>
    <w:p w14:paraId="22DFCC84" w14:textId="77777777" w:rsidR="00A0101C" w:rsidRDefault="00A0101C" w:rsidP="00E25978">
      <w:pPr>
        <w:pStyle w:val="B1"/>
        <w:ind w:left="0" w:firstLine="0"/>
        <w:jc w:val="both"/>
      </w:pPr>
      <w:r>
        <w:t xml:space="preserve">In the case of single cell, each BWP includes a set of power profiles. In a BWP, only one of the power profiles is active at a time; the parameter configuration of each power profile corresponds to a specific traffic characteristic. For example, one power profile is for heavy traffic, another for light-but-frequent traffic, and the other for sporadic traffic. </w:t>
      </w:r>
      <w:r w:rsidRPr="00F338B8">
        <w:t xml:space="preserve">See Figure 5 </w:t>
      </w:r>
      <w:r>
        <w:t xml:space="preserve">as an example. </w:t>
      </w:r>
    </w:p>
    <w:p w14:paraId="7EB59601" w14:textId="77777777" w:rsidR="00A0101C" w:rsidRPr="00B115C0" w:rsidRDefault="00A0101C" w:rsidP="00E25978">
      <w:pPr>
        <w:pStyle w:val="B1"/>
        <w:ind w:left="0" w:firstLine="0"/>
        <w:jc w:val="both"/>
        <w:rPr>
          <w:szCs w:val="32"/>
        </w:rPr>
      </w:pPr>
      <w:r>
        <w:t xml:space="preserve">In order to reduce the transition time of UE adaptation, we can </w:t>
      </w:r>
      <w:r>
        <w:rPr>
          <w:szCs w:val="32"/>
        </w:rPr>
        <w:t xml:space="preserve">partition adapted parameters into two categories. One is for those with long transition time, and the other is for those not. A simple example of categorization is </w:t>
      </w:r>
      <w:r w:rsidRPr="00B115C0">
        <w:rPr>
          <w:szCs w:val="32"/>
        </w:rPr>
        <w:t>RF relevant parameters, including retuning the local oscillator, reconfiguring the RF chain for more or less bandwidth, etc.</w:t>
      </w:r>
      <w:r>
        <w:rPr>
          <w:szCs w:val="32"/>
        </w:rPr>
        <w:t xml:space="preserve">, and </w:t>
      </w:r>
      <w:r w:rsidRPr="00B115C0">
        <w:rPr>
          <w:szCs w:val="32"/>
        </w:rPr>
        <w:t>baseband processing relevant parameters, for which a short switching time is expected.</w:t>
      </w:r>
      <w:r>
        <w:rPr>
          <w:szCs w:val="32"/>
        </w:rPr>
        <w:t xml:space="preserve"> </w:t>
      </w:r>
      <w:r w:rsidRPr="00B115C0">
        <w:rPr>
          <w:szCs w:val="32"/>
        </w:rPr>
        <w:t>For instance, in Figure 5, the bandwidth and the maximum number of MIMO layers are RF parameters, so they are configured in BWP. Search space configurations and K</w:t>
      </w:r>
      <w:r w:rsidRPr="00B115C0">
        <w:rPr>
          <w:szCs w:val="32"/>
          <w:vertAlign w:val="subscript"/>
        </w:rPr>
        <w:t>0</w:t>
      </w:r>
      <w:r w:rsidRPr="00B115C0">
        <w:rPr>
          <w:szCs w:val="32"/>
        </w:rPr>
        <w:t xml:space="preserve"> are considered as baseband parameters, and the</w:t>
      </w:r>
      <w:r>
        <w:rPr>
          <w:szCs w:val="32"/>
        </w:rPr>
        <w:t>ir range</w:t>
      </w:r>
      <w:r w:rsidRPr="00B115C0">
        <w:rPr>
          <w:szCs w:val="32"/>
        </w:rPr>
        <w:t xml:space="preserve"> </w:t>
      </w:r>
      <w:r>
        <w:rPr>
          <w:szCs w:val="32"/>
        </w:rPr>
        <w:t>can be restricted</w:t>
      </w:r>
      <w:r w:rsidRPr="00B115C0">
        <w:rPr>
          <w:szCs w:val="32"/>
        </w:rPr>
        <w:t xml:space="preserve"> in power profiles. In so doing, different transition time for RF relevant parameters and for baseband parameters can be separately defined, and the transition time for adaptation involved with only baseband parameters can be reduced. </w:t>
      </w:r>
    </w:p>
    <w:p w14:paraId="6E850FA7" w14:textId="3173B5EA" w:rsidR="00CC5591" w:rsidRDefault="00F338B8" w:rsidP="00CC5591">
      <w:pPr>
        <w:overflowPunct/>
        <w:autoSpaceDE/>
        <w:autoSpaceDN/>
        <w:adjustRightInd/>
        <w:spacing w:before="240" w:after="120"/>
        <w:textAlignment w:val="auto"/>
        <w:rPr>
          <w:rFonts w:ascii="Times New Roman" w:hAnsi="Times New Roman"/>
        </w:rPr>
      </w:pPr>
      <w:r>
        <w:rPr>
          <w:rFonts w:ascii="Times New Roman" w:hAnsi="Times New Roman"/>
          <w:noProof/>
          <w:lang w:val="en-US" w:eastAsia="zh-CN"/>
        </w:rPr>
        <w:drawing>
          <wp:inline distT="0" distB="0" distL="0" distR="0" wp14:anchorId="79395364" wp14:editId="03355E6A">
            <wp:extent cx="6084570" cy="3423285"/>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4570" cy="3423285"/>
                    </a:xfrm>
                    <a:prstGeom prst="rect">
                      <a:avLst/>
                    </a:prstGeom>
                    <a:noFill/>
                    <a:ln>
                      <a:noFill/>
                    </a:ln>
                  </pic:spPr>
                </pic:pic>
              </a:graphicData>
            </a:graphic>
          </wp:inline>
        </w:drawing>
      </w:r>
    </w:p>
    <w:p w14:paraId="12F7AED8" w14:textId="4B7E9496" w:rsidR="00CC5591" w:rsidRDefault="00CC5591" w:rsidP="00CC5591">
      <w:pPr>
        <w:overflowPunct/>
        <w:autoSpaceDE/>
        <w:autoSpaceDN/>
        <w:adjustRightInd/>
        <w:spacing w:before="120" w:after="240"/>
        <w:jc w:val="center"/>
        <w:textAlignment w:val="auto"/>
        <w:rPr>
          <w:rFonts w:ascii="Times New Roman" w:hAnsi="Times New Roman"/>
          <w:szCs w:val="32"/>
        </w:rPr>
      </w:pPr>
      <w:r w:rsidRPr="002C3EBE">
        <w:rPr>
          <w:rFonts w:ascii="Times New Roman" w:hAnsi="Times New Roman"/>
          <w:b/>
        </w:rPr>
        <w:lastRenderedPageBreak/>
        <w:t>Figure 5.</w:t>
      </w:r>
      <w:r>
        <w:rPr>
          <w:rFonts w:ascii="Times New Roman" w:hAnsi="Times New Roman"/>
        </w:rPr>
        <w:t xml:space="preserve"> </w:t>
      </w:r>
      <w:r w:rsidRPr="00B5367B">
        <w:rPr>
          <w:rFonts w:ascii="Times New Roman" w:hAnsi="Times New Roman"/>
          <w:szCs w:val="32"/>
        </w:rPr>
        <w:t xml:space="preserve">Configuration of adapted parameter sets </w:t>
      </w:r>
      <w:r>
        <w:rPr>
          <w:rFonts w:ascii="Times New Roman" w:hAnsi="Times New Roman"/>
          <w:szCs w:val="32"/>
        </w:rPr>
        <w:t>b</w:t>
      </w:r>
      <w:r w:rsidRPr="00B5367B">
        <w:rPr>
          <w:rFonts w:ascii="Times New Roman" w:hAnsi="Times New Roman"/>
          <w:szCs w:val="32"/>
        </w:rPr>
        <w:t>ased on</w:t>
      </w:r>
      <w:r>
        <w:rPr>
          <w:rFonts w:ascii="Times New Roman" w:hAnsi="Times New Roman"/>
          <w:szCs w:val="32"/>
        </w:rPr>
        <w:t xml:space="preserve"> hybrid of</w:t>
      </w:r>
      <w:r w:rsidRPr="00B5367B">
        <w:rPr>
          <w:rFonts w:ascii="Times New Roman" w:hAnsi="Times New Roman"/>
          <w:szCs w:val="32"/>
        </w:rPr>
        <w:t xml:space="preserve"> BWP</w:t>
      </w:r>
      <w:r>
        <w:rPr>
          <w:rFonts w:ascii="Times New Roman" w:hAnsi="Times New Roman"/>
          <w:szCs w:val="32"/>
        </w:rPr>
        <w:t xml:space="preserve"> and power profile</w:t>
      </w:r>
      <w:r w:rsidR="00F338B8">
        <w:rPr>
          <w:rFonts w:ascii="Times New Roman" w:hAnsi="Times New Roman"/>
          <w:szCs w:val="32"/>
        </w:rPr>
        <w:t xml:space="preserve"> in</w:t>
      </w:r>
      <w:r>
        <w:rPr>
          <w:rFonts w:ascii="Times New Roman" w:hAnsi="Times New Roman"/>
          <w:szCs w:val="32"/>
        </w:rPr>
        <w:t xml:space="preserve"> single cell</w:t>
      </w:r>
    </w:p>
    <w:p w14:paraId="1748A219" w14:textId="14DF5643" w:rsidR="00A0101C" w:rsidRDefault="009A66EC" w:rsidP="004113F8">
      <w:pPr>
        <w:pStyle w:val="Caption"/>
      </w:pPr>
      <w:r>
        <w:t>Proposal</w:t>
      </w:r>
      <w:r>
        <w:t xml:space="preserve"> 5</w:t>
      </w:r>
      <w:r w:rsidR="00A0101C">
        <w:t>: When the configuration method of BWP + power profile is used, only one power profile is active in a BWP. The parameter configuration of each power profile corresponds to a specific traffic characteristic.</w:t>
      </w:r>
    </w:p>
    <w:p w14:paraId="211F293A" w14:textId="7FC0EAB7" w:rsidR="00A0101C" w:rsidRDefault="009A66EC" w:rsidP="004113F8">
      <w:pPr>
        <w:pStyle w:val="Caption"/>
      </w:pPr>
      <w:r>
        <w:t>Proposal</w:t>
      </w:r>
      <w:r>
        <w:t xml:space="preserve"> 6</w:t>
      </w:r>
      <w:r w:rsidR="00A0101C">
        <w:t>: When the configuration method of BWP + power profile is used, power profiles are used only for b</w:t>
      </w:r>
      <w:r w:rsidR="00A0101C" w:rsidRPr="00B115C0">
        <w:t>aseband processing relevant parameters</w:t>
      </w:r>
      <w:r w:rsidR="00A0101C">
        <w:t xml:space="preserve"> to save adaptation transition time</w:t>
      </w:r>
      <w:r w:rsidR="00A0101C" w:rsidRPr="00B115C0">
        <w:t>.</w:t>
      </w:r>
    </w:p>
    <w:p w14:paraId="1742B1E3" w14:textId="77777777" w:rsidR="004113F8" w:rsidRPr="00192A16" w:rsidRDefault="004113F8" w:rsidP="004113F8">
      <w:pPr>
        <w:pStyle w:val="B1"/>
        <w:ind w:left="0" w:firstLine="0"/>
        <w:jc w:val="both"/>
      </w:pPr>
      <w:r w:rsidRPr="00192A16">
        <w:t xml:space="preserve">Figure 6 shows an example of adaptation </w:t>
      </w:r>
      <w:r>
        <w:t>when</w:t>
      </w:r>
      <w:r w:rsidRPr="00192A16">
        <w:t xml:space="preserve"> the </w:t>
      </w:r>
      <w:r>
        <w:t xml:space="preserve">hybrid </w:t>
      </w:r>
      <w:r w:rsidRPr="00192A16">
        <w:t>configuration method</w:t>
      </w:r>
      <w:r>
        <w:t xml:space="preserve"> of</w:t>
      </w:r>
      <w:r w:rsidRPr="00192A16">
        <w:t xml:space="preserve"> BWP + power profile</w:t>
      </w:r>
      <w:r>
        <w:t xml:space="preserve"> is used in the case of single cell</w:t>
      </w:r>
      <w:r w:rsidRPr="00192A16">
        <w:t>.</w:t>
      </w:r>
      <w:r>
        <w:t xml:space="preserve"> In this example, UE is to be adapted from ‘power profile 2 of BWP 1’ to ‘power file 2 to BWP 2’. Note that each BWP has a default power profile. When UE is adapted to a new active BWP, the default power profile of the new active BWP becomes active, which is depicted in Figure 6(a). To adapt to a non-default power profile, a further adaptation is from the default power profile to the target power profile, depicted in Figure 6(b). This adaptation is involved with 2 steps. The triggers for adaptation across BWPs as shown in Figure 6(a) and across power profiles as shown in Figure 6(b) will be described in Section 3.  </w:t>
      </w:r>
      <w:r w:rsidRPr="00192A16">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1"/>
        <w:gridCol w:w="4965"/>
      </w:tblGrid>
      <w:tr w:rsidR="00767B55" w14:paraId="75514827" w14:textId="77777777" w:rsidTr="00A0101C">
        <w:tc>
          <w:tcPr>
            <w:tcW w:w="4781" w:type="dxa"/>
            <w:tcBorders>
              <w:right w:val="single" w:sz="8" w:space="0" w:color="auto"/>
            </w:tcBorders>
            <w:vAlign w:val="bottom"/>
          </w:tcPr>
          <w:p w14:paraId="2AF92F69" w14:textId="270ED9B2" w:rsidR="00767B55" w:rsidRDefault="00767B55" w:rsidP="00A0101C">
            <w:pPr>
              <w:overflowPunct/>
              <w:autoSpaceDE/>
              <w:autoSpaceDN/>
              <w:adjustRightInd/>
              <w:spacing w:before="240" w:after="0"/>
              <w:jc w:val="center"/>
              <w:textAlignment w:val="auto"/>
              <w:rPr>
                <w:sz w:val="28"/>
                <w:szCs w:val="28"/>
              </w:rPr>
            </w:pPr>
            <w:r>
              <w:object w:dxaOrig="6060" w:dyaOrig="4464" w14:anchorId="5D42E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167pt" o:ole="">
                  <v:imagedata r:id="rId13" o:title=""/>
                </v:shape>
                <o:OLEObject Type="Embed" ProgID="PBrush" ShapeID="_x0000_i1025" DrawAspect="Content" ObjectID="_1602695037" r:id="rId14"/>
              </w:object>
            </w:r>
          </w:p>
        </w:tc>
        <w:tc>
          <w:tcPr>
            <w:tcW w:w="4965" w:type="dxa"/>
            <w:tcBorders>
              <w:left w:val="single" w:sz="8" w:space="0" w:color="auto"/>
            </w:tcBorders>
            <w:vAlign w:val="bottom"/>
          </w:tcPr>
          <w:p w14:paraId="349C901C" w14:textId="06AD464D" w:rsidR="00767B55" w:rsidRDefault="00767B55" w:rsidP="00A0101C">
            <w:pPr>
              <w:overflowPunct/>
              <w:autoSpaceDE/>
              <w:autoSpaceDN/>
              <w:adjustRightInd/>
              <w:spacing w:before="240" w:after="0"/>
              <w:jc w:val="center"/>
              <w:textAlignment w:val="auto"/>
              <w:rPr>
                <w:sz w:val="28"/>
                <w:szCs w:val="28"/>
              </w:rPr>
            </w:pPr>
            <w:r>
              <w:object w:dxaOrig="6072" w:dyaOrig="3456" w14:anchorId="63DDF072">
                <v:shape id="_x0000_i1026" type="#_x0000_t75" style="width:237.5pt;height:135.5pt" o:ole="">
                  <v:imagedata r:id="rId15" o:title=""/>
                </v:shape>
                <o:OLEObject Type="Embed" ProgID="PBrush" ShapeID="_x0000_i1026" DrawAspect="Content" ObjectID="_1602695038" r:id="rId16"/>
              </w:object>
            </w:r>
          </w:p>
        </w:tc>
      </w:tr>
      <w:tr w:rsidR="00767B55" w14:paraId="412339CC" w14:textId="77777777" w:rsidTr="00A0101C">
        <w:trPr>
          <w:trHeight w:val="257"/>
        </w:trPr>
        <w:tc>
          <w:tcPr>
            <w:tcW w:w="4781" w:type="dxa"/>
          </w:tcPr>
          <w:p w14:paraId="4A49F308" w14:textId="609E0BDC" w:rsidR="00767B55" w:rsidRPr="00767B55" w:rsidRDefault="00767B55" w:rsidP="00A0101C">
            <w:pPr>
              <w:overflowPunct/>
              <w:autoSpaceDE/>
              <w:autoSpaceDN/>
              <w:adjustRightInd/>
              <w:spacing w:before="240" w:after="0"/>
              <w:jc w:val="center"/>
              <w:textAlignment w:val="auto"/>
              <w:rPr>
                <w:rFonts w:ascii="Times New Roman" w:hAnsi="Times New Roman"/>
              </w:rPr>
            </w:pPr>
            <w:r w:rsidRPr="00767B55">
              <w:rPr>
                <w:rFonts w:ascii="Times New Roman" w:hAnsi="Times New Roman"/>
              </w:rPr>
              <w:t>(a)</w:t>
            </w:r>
          </w:p>
        </w:tc>
        <w:tc>
          <w:tcPr>
            <w:tcW w:w="4965" w:type="dxa"/>
          </w:tcPr>
          <w:p w14:paraId="11FD6548" w14:textId="7EA37A76" w:rsidR="00767B55" w:rsidRPr="00767B55" w:rsidRDefault="00767B55" w:rsidP="00A0101C">
            <w:pPr>
              <w:overflowPunct/>
              <w:autoSpaceDE/>
              <w:autoSpaceDN/>
              <w:adjustRightInd/>
              <w:spacing w:before="240" w:after="0"/>
              <w:jc w:val="center"/>
              <w:textAlignment w:val="auto"/>
              <w:rPr>
                <w:rFonts w:ascii="Times New Roman" w:hAnsi="Times New Roman"/>
              </w:rPr>
            </w:pPr>
            <w:r w:rsidRPr="00767B55">
              <w:rPr>
                <w:rFonts w:ascii="Times New Roman" w:hAnsi="Times New Roman"/>
              </w:rPr>
              <w:t>(b</w:t>
            </w:r>
            <w:r w:rsidR="00824B86">
              <w:rPr>
                <w:rFonts w:ascii="Times New Roman" w:hAnsi="Times New Roman"/>
              </w:rPr>
              <w:t>)</w:t>
            </w:r>
          </w:p>
        </w:tc>
      </w:tr>
    </w:tbl>
    <w:p w14:paraId="44181E62" w14:textId="3A0F78BA" w:rsidR="00767B55" w:rsidRDefault="00A91901" w:rsidP="00A91901">
      <w:pPr>
        <w:overflowPunct/>
        <w:autoSpaceDE/>
        <w:autoSpaceDN/>
        <w:adjustRightInd/>
        <w:spacing w:before="120" w:after="240"/>
        <w:jc w:val="center"/>
        <w:textAlignment w:val="auto"/>
        <w:rPr>
          <w:rFonts w:ascii="Times New Roman" w:hAnsi="Times New Roman"/>
        </w:rPr>
      </w:pPr>
      <w:r w:rsidRPr="00A91901">
        <w:rPr>
          <w:rFonts w:ascii="Times New Roman" w:hAnsi="Times New Roman"/>
          <w:b/>
        </w:rPr>
        <w:t>Figure 6.</w:t>
      </w:r>
      <w:r>
        <w:rPr>
          <w:rFonts w:ascii="Times New Roman" w:hAnsi="Times New Roman"/>
          <w:b/>
        </w:rPr>
        <w:t xml:space="preserve"> </w:t>
      </w:r>
      <w:r w:rsidR="002F6316" w:rsidRPr="002F6316">
        <w:rPr>
          <w:rFonts w:ascii="Times New Roman" w:hAnsi="Times New Roman"/>
        </w:rPr>
        <w:t>Adaptation</w:t>
      </w:r>
      <w:r w:rsidR="002F6316">
        <w:rPr>
          <w:rFonts w:ascii="Times New Roman" w:hAnsi="Times New Roman"/>
        </w:rPr>
        <w:t xml:space="preserve"> in the configuration method of BWP + power profile </w:t>
      </w:r>
      <w:r w:rsidR="00AB1DFB">
        <w:rPr>
          <w:rFonts w:ascii="Times New Roman" w:hAnsi="Times New Roman"/>
        </w:rPr>
        <w:t>in single cell</w:t>
      </w:r>
    </w:p>
    <w:p w14:paraId="74AF1978" w14:textId="36EEBF1C" w:rsidR="004113F8" w:rsidRPr="00A91901" w:rsidRDefault="00242171" w:rsidP="004113F8">
      <w:pPr>
        <w:pStyle w:val="Caption"/>
      </w:pPr>
      <w:r>
        <w:t>Proposal</w:t>
      </w:r>
      <w:r>
        <w:t xml:space="preserve"> 7</w:t>
      </w:r>
      <w:r w:rsidR="004113F8">
        <w:t xml:space="preserve">: </w:t>
      </w:r>
      <w:r w:rsidR="00320DD7">
        <w:t>When the configuration method of BWP + power profile is used, if</w:t>
      </w:r>
      <w:r w:rsidR="00FB72D1">
        <w:t xml:space="preserve"> UE is adapted to a new active BWP, the default power profile of the new active BWP becomes active</w:t>
      </w:r>
      <w:r w:rsidR="00320DD7">
        <w:t>; t</w:t>
      </w:r>
      <w:r w:rsidR="00FB72D1">
        <w:t>o adapt to a non-default power profile, a further adaptation is from the default power profile to the target power profile.</w:t>
      </w:r>
    </w:p>
    <w:p w14:paraId="61C9E603" w14:textId="4CBE7849" w:rsidR="009649A0" w:rsidRDefault="007607E8" w:rsidP="00E835F3">
      <w:pPr>
        <w:pStyle w:val="Heading3"/>
        <w:spacing w:before="240"/>
      </w:pPr>
      <w:r>
        <w:t>2</w:t>
      </w:r>
      <w:r w:rsidR="009649A0" w:rsidRPr="00B7791F">
        <w:t>.</w:t>
      </w:r>
      <w:r w:rsidR="009649A0">
        <w:t>2</w:t>
      </w:r>
      <w:r w:rsidR="009649A0" w:rsidRPr="00B7791F">
        <w:t>.</w:t>
      </w:r>
      <w:r w:rsidR="009649A0">
        <w:t>2</w:t>
      </w:r>
      <w:r w:rsidR="009649A0" w:rsidRPr="00B7791F">
        <w:t xml:space="preserve"> </w:t>
      </w:r>
      <w:r w:rsidR="009649A0">
        <w:t>Carrier aggregation</w:t>
      </w:r>
    </w:p>
    <w:p w14:paraId="6B8ADFA4" w14:textId="6DB3AFA6" w:rsidR="00D851B0" w:rsidRDefault="007607E8" w:rsidP="00E25978">
      <w:pPr>
        <w:pStyle w:val="B1"/>
        <w:ind w:left="0" w:firstLine="0"/>
        <w:jc w:val="both"/>
      </w:pPr>
      <w:r>
        <w:t xml:space="preserve">In the case of carrier aggregation, UE is configured </w:t>
      </w:r>
      <w:r w:rsidR="004C186D">
        <w:t xml:space="preserve">multiple </w:t>
      </w:r>
      <w:r w:rsidR="007B7B5C">
        <w:t>BWPs</w:t>
      </w:r>
      <w:r>
        <w:t xml:space="preserve"> in each </w:t>
      </w:r>
      <w:r w:rsidR="004C186D">
        <w:t xml:space="preserve">serving </w:t>
      </w:r>
      <w:r>
        <w:t>cell</w:t>
      </w:r>
      <w:r w:rsidR="007B7B5C">
        <w:t>; in each BWP, a set of power profiles are configured</w:t>
      </w:r>
      <w:r>
        <w:t xml:space="preserve">. </w:t>
      </w:r>
      <w:r w:rsidR="000056CD">
        <w:t xml:space="preserve">Same as the discussion in Section 2.1.2, some serving cells are selected as </w:t>
      </w:r>
      <w:r w:rsidR="000056CD" w:rsidRPr="000056CD">
        <w:t>leader cells</w:t>
      </w:r>
      <w:r w:rsidR="000056CD">
        <w:t>, and each lead</w:t>
      </w:r>
      <w:r w:rsidR="004E0B91">
        <w:t>er</w:t>
      </w:r>
      <w:r w:rsidR="000056CD">
        <w:t xml:space="preserve"> cell is associate with a set </w:t>
      </w:r>
      <w:r w:rsidR="000056CD" w:rsidRPr="000056CD">
        <w:t>of follower cells.</w:t>
      </w:r>
      <w:r w:rsidR="000056CD">
        <w:t xml:space="preserve"> </w:t>
      </w:r>
      <w:r w:rsidR="004E0B91">
        <w:t>I</w:t>
      </w:r>
      <w:r w:rsidR="007A0AFC">
        <w:t xml:space="preserve">n a leader cell, </w:t>
      </w:r>
      <w:r w:rsidR="004E0B91">
        <w:t xml:space="preserve">if </w:t>
      </w:r>
      <w:r w:rsidR="007A0AFC">
        <w:t xml:space="preserve">the UE is adapted from ‘power profile 2 of BWP 1’ to ‘power file 2 to BWP 2’. The UE adaptation in the leader cell is exactly the same as that depicted in Figures 6(a) and 6(b). </w:t>
      </w:r>
    </w:p>
    <w:p w14:paraId="62EAACDA" w14:textId="6F22B9BC" w:rsidR="00D851B0" w:rsidRDefault="004E0B91" w:rsidP="00E25978">
      <w:pPr>
        <w:pStyle w:val="B1"/>
        <w:ind w:left="0" w:firstLine="0"/>
        <w:jc w:val="both"/>
      </w:pPr>
      <w:r>
        <w:t>In an</w:t>
      </w:r>
      <w:r w:rsidR="007A0AFC">
        <w:t xml:space="preserve"> associated follower cell, due to the adaptation of Figure 6(a) in the leader cell, a bundled BWP adaptation is initiated as shown in Figure 3; meanwhile, the default power profile of the new active BWP becomes active in the follower cell. </w:t>
      </w:r>
    </w:p>
    <w:p w14:paraId="6284B854" w14:textId="73A9732D" w:rsidR="00AB54FE" w:rsidRDefault="004E0B91" w:rsidP="00E25978">
      <w:pPr>
        <w:pStyle w:val="B1"/>
        <w:ind w:left="0" w:firstLine="0"/>
        <w:jc w:val="both"/>
      </w:pPr>
      <w:r>
        <w:t>A p</w:t>
      </w:r>
      <w:r w:rsidR="00D851B0">
        <w:t xml:space="preserve">ower profile in the leader cell </w:t>
      </w:r>
      <w:r>
        <w:t>is bundled with</w:t>
      </w:r>
      <w:r w:rsidR="00D851B0">
        <w:t xml:space="preserve"> </w:t>
      </w:r>
      <w:r>
        <w:t xml:space="preserve">a power profile in </w:t>
      </w:r>
      <w:r w:rsidR="00D851B0">
        <w:t xml:space="preserve">an associated follower cell </w:t>
      </w:r>
      <w:r>
        <w:t xml:space="preserve">if they </w:t>
      </w:r>
      <w:r w:rsidR="00D851B0">
        <w:t xml:space="preserve">target for the same traffic characteristic. In the associated follower cell, during the adaptation of Figure 6(b) in the leader cell, a bundled power profile adaptation is initiated. </w:t>
      </w:r>
    </w:p>
    <w:p w14:paraId="2A221747" w14:textId="4B731959" w:rsidR="00320DD7" w:rsidRPr="000B4793" w:rsidRDefault="00242171" w:rsidP="00124F87">
      <w:pPr>
        <w:pStyle w:val="Caption"/>
      </w:pPr>
      <w:r>
        <w:t>Proposal</w:t>
      </w:r>
      <w:r>
        <w:t xml:space="preserve"> 8</w:t>
      </w:r>
      <w:r w:rsidR="00320DD7">
        <w:t xml:space="preserve">: </w:t>
      </w:r>
      <w:r w:rsidR="00124F87">
        <w:t>In the case of carrier aggregation, the adaptation mechanism of BWP + power profile configuration at the BWP level is the same as the adaptation mechanism in solely BWP configuration. A power profile adaptation in a leader cell initiates a bundled power profile adaptation in associated follower cells.</w:t>
      </w:r>
    </w:p>
    <w:p w14:paraId="6CA5AD59" w14:textId="7D96F4A6" w:rsidR="009378EE" w:rsidRPr="0017353E" w:rsidRDefault="00765D65" w:rsidP="0017353E">
      <w:pPr>
        <w:pStyle w:val="Heading1"/>
        <w:jc w:val="both"/>
        <w:rPr>
          <w:szCs w:val="36"/>
        </w:rPr>
      </w:pPr>
      <w:r w:rsidRPr="0017353E">
        <w:rPr>
          <w:szCs w:val="36"/>
        </w:rPr>
        <w:lastRenderedPageBreak/>
        <w:t>3.</w:t>
      </w:r>
      <w:r w:rsidR="009378EE" w:rsidRPr="0017353E">
        <w:rPr>
          <w:szCs w:val="36"/>
        </w:rPr>
        <w:t xml:space="preserve"> Mechanism of adaptation triggering</w:t>
      </w:r>
    </w:p>
    <w:p w14:paraId="7EA527EB" w14:textId="77777777" w:rsidR="00BD5A2C" w:rsidRDefault="009631B3" w:rsidP="00472F55">
      <w:pPr>
        <w:pStyle w:val="B1"/>
        <w:ind w:left="0" w:firstLine="0"/>
        <w:jc w:val="both"/>
      </w:pPr>
      <w:r w:rsidRPr="009631B3">
        <w:t xml:space="preserve">In this section, </w:t>
      </w:r>
      <w:r>
        <w:t xml:space="preserve">the </w:t>
      </w:r>
      <w:r w:rsidR="00BD5A2C">
        <w:t xml:space="preserve">trigger of </w:t>
      </w:r>
      <w:r>
        <w:t>adaptation</w:t>
      </w:r>
      <w:r w:rsidR="008161FE">
        <w:t xml:space="preserve"> is discussed</w:t>
      </w:r>
      <w:r>
        <w:t xml:space="preserve">. </w:t>
      </w:r>
      <w:r w:rsidR="005D6937">
        <w:t>Two types of adaptation triggering can be used. They are trigger</w:t>
      </w:r>
      <w:r w:rsidR="00BD5A2C">
        <w:t>s</w:t>
      </w:r>
      <w:r w:rsidR="005D6937">
        <w:t xml:space="preserve"> based on power saving signal</w:t>
      </w:r>
      <w:r w:rsidR="00BD5A2C">
        <w:t>s</w:t>
      </w:r>
      <w:r w:rsidR="005D6937">
        <w:t xml:space="preserve"> and trigger</w:t>
      </w:r>
      <w:r w:rsidR="00BD5A2C">
        <w:t>s</w:t>
      </w:r>
      <w:r w:rsidR="005D6937">
        <w:t xml:space="preserve"> based on timer. </w:t>
      </w:r>
    </w:p>
    <w:p w14:paraId="07E95833" w14:textId="4EF5519C" w:rsidR="000721F8" w:rsidRDefault="00242171" w:rsidP="000721F8">
      <w:pPr>
        <w:pStyle w:val="Caption"/>
      </w:pPr>
      <w:r>
        <w:t>Proposal</w:t>
      </w:r>
      <w:r>
        <w:t xml:space="preserve"> 9</w:t>
      </w:r>
      <w:r w:rsidR="000721F8">
        <w:t>: Two types of adaptation triggering can be used: triggers based on power saving signals and triggers based on timer.</w:t>
      </w:r>
    </w:p>
    <w:p w14:paraId="6F8364CE" w14:textId="4AF601EE" w:rsidR="009631B3" w:rsidRDefault="009631B3" w:rsidP="00E835F3">
      <w:pPr>
        <w:pStyle w:val="Heading2"/>
        <w:spacing w:before="240"/>
      </w:pPr>
      <w:r w:rsidRPr="009631B3">
        <w:t>3.</w:t>
      </w:r>
      <w:r w:rsidR="00BD5A2C">
        <w:t>1</w:t>
      </w:r>
      <w:r w:rsidRPr="009631B3">
        <w:t xml:space="preserve"> </w:t>
      </w:r>
      <w:r w:rsidR="00043474">
        <w:t>Adaptation t</w:t>
      </w:r>
      <w:r w:rsidRPr="009631B3">
        <w:t>riggering by power saving signal</w:t>
      </w:r>
      <w:r w:rsidR="00AD187F">
        <w:t xml:space="preserve"> and </w:t>
      </w:r>
      <w:r w:rsidR="00DC3942">
        <w:t xml:space="preserve">its </w:t>
      </w:r>
      <w:r w:rsidR="00AD187F">
        <w:t>use cases</w:t>
      </w:r>
    </w:p>
    <w:p w14:paraId="51DEE6C1" w14:textId="77777777" w:rsidR="005A2ABF" w:rsidRDefault="005A2ABF" w:rsidP="00472F55">
      <w:pPr>
        <w:pStyle w:val="B1"/>
        <w:ind w:left="0" w:firstLine="0"/>
        <w:jc w:val="both"/>
      </w:pPr>
      <w:r>
        <w:t>A trigger of adaptation based on a power saving signal is used when traffic characteristic changes.</w:t>
      </w:r>
      <w:r w:rsidRPr="001A573F">
        <w:t xml:space="preserve"> </w:t>
      </w:r>
      <w:r>
        <w:t xml:space="preserve">This includes </w:t>
      </w:r>
    </w:p>
    <w:p w14:paraId="6F476303" w14:textId="77777777" w:rsidR="005A2ABF" w:rsidRDefault="005A2ABF" w:rsidP="005A2ABF">
      <w:pPr>
        <w:pStyle w:val="ListParagraph"/>
        <w:numPr>
          <w:ilvl w:val="0"/>
          <w:numId w:val="31"/>
        </w:numPr>
        <w:overflowPunct/>
        <w:autoSpaceDE/>
        <w:autoSpaceDN/>
        <w:adjustRightInd/>
        <w:spacing w:before="120" w:after="120"/>
        <w:ind w:left="426" w:hanging="284"/>
        <w:textAlignment w:val="auto"/>
        <w:rPr>
          <w:rFonts w:ascii="Times New Roman" w:hAnsi="Times New Roman"/>
        </w:rPr>
      </w:pPr>
      <w:r>
        <w:rPr>
          <w:rFonts w:ascii="Times New Roman" w:hAnsi="Times New Roman"/>
        </w:rPr>
        <w:t>moving from C-DRX to continuous monitoring;</w:t>
      </w:r>
    </w:p>
    <w:p w14:paraId="20AE4F52" w14:textId="77777777" w:rsidR="005A2ABF" w:rsidRDefault="005A2ABF" w:rsidP="005A2ABF">
      <w:pPr>
        <w:pStyle w:val="ListParagraph"/>
        <w:numPr>
          <w:ilvl w:val="0"/>
          <w:numId w:val="31"/>
        </w:numPr>
        <w:overflowPunct/>
        <w:autoSpaceDE/>
        <w:autoSpaceDN/>
        <w:adjustRightInd/>
        <w:spacing w:before="120" w:after="120"/>
        <w:ind w:left="426" w:hanging="284"/>
        <w:textAlignment w:val="auto"/>
        <w:rPr>
          <w:rFonts w:ascii="Times New Roman" w:hAnsi="Times New Roman"/>
        </w:rPr>
      </w:pPr>
      <w:r>
        <w:rPr>
          <w:rFonts w:ascii="Times New Roman" w:hAnsi="Times New Roman"/>
        </w:rPr>
        <w:t>moving from IDLE to continuous monitoring;</w:t>
      </w:r>
    </w:p>
    <w:p w14:paraId="5A25BF8D" w14:textId="77777777" w:rsidR="005A2ABF" w:rsidRDefault="005A2ABF" w:rsidP="005A2ABF">
      <w:pPr>
        <w:pStyle w:val="ListParagraph"/>
        <w:numPr>
          <w:ilvl w:val="0"/>
          <w:numId w:val="31"/>
        </w:numPr>
        <w:overflowPunct/>
        <w:autoSpaceDE/>
        <w:autoSpaceDN/>
        <w:adjustRightInd/>
        <w:spacing w:before="120" w:after="120"/>
        <w:ind w:left="426" w:hanging="284"/>
        <w:textAlignment w:val="auto"/>
        <w:rPr>
          <w:rFonts w:ascii="Times New Roman" w:hAnsi="Times New Roman"/>
        </w:rPr>
      </w:pPr>
      <w:r w:rsidRPr="00BD5A2C">
        <w:rPr>
          <w:rFonts w:ascii="Times New Roman" w:hAnsi="Times New Roman"/>
        </w:rPr>
        <w:t>traffic characteristic changes when UE is in the state of continuous monitoring.</w:t>
      </w:r>
    </w:p>
    <w:p w14:paraId="753257FD" w14:textId="77777777" w:rsidR="005A2ABF" w:rsidRDefault="005A2ABF" w:rsidP="00472F55">
      <w:pPr>
        <w:pStyle w:val="B1"/>
        <w:ind w:left="0" w:firstLine="0"/>
        <w:jc w:val="both"/>
      </w:pPr>
      <w:r>
        <w:t xml:space="preserve">Here </w:t>
      </w:r>
      <w:r w:rsidRPr="00BD5A2C">
        <w:t xml:space="preserve">continuous </w:t>
      </w:r>
      <w:r>
        <w:t>monitoring</w:t>
      </w:r>
      <w:r w:rsidRPr="00BD5A2C">
        <w:t xml:space="preserve"> represents UE keeps monitoring PDCCH because DRX inactivity timer starts but not yet expired. </w:t>
      </w:r>
    </w:p>
    <w:p w14:paraId="276687F6" w14:textId="77777777" w:rsidR="005A2ABF" w:rsidRDefault="005A2ABF" w:rsidP="00472F55">
      <w:pPr>
        <w:pStyle w:val="B1"/>
        <w:ind w:left="0" w:firstLine="0"/>
        <w:jc w:val="both"/>
      </w:pPr>
      <w:r>
        <w:t xml:space="preserve">Details for our design on the power saving signal are given in a companion </w:t>
      </w:r>
      <w:r w:rsidRPr="005A2ABF">
        <w:t>paper [2]. When</w:t>
      </w:r>
      <w:r>
        <w:t xml:space="preserve"> in C-DRX or IDLE, a UE monitors the power saving signal before the ON duration of DRX. From the power saving signal, the UE can not only tell whether he needs to wake up at the coming ON duration, but also be aware of the active BWP and/or the active power profile to be used for the coming traffic if he needs to wake up. </w:t>
      </w:r>
    </w:p>
    <w:p w14:paraId="4A28E994" w14:textId="455DD31B" w:rsidR="005A2ABF" w:rsidRPr="005A2ABF" w:rsidRDefault="005A2ABF" w:rsidP="00472F55">
      <w:pPr>
        <w:pStyle w:val="B1"/>
        <w:ind w:left="0" w:firstLine="0"/>
        <w:jc w:val="both"/>
      </w:pPr>
      <w:r w:rsidRPr="005A2ABF">
        <w:t>In the following</w:t>
      </w:r>
      <w:r>
        <w:t>, four cases are discussed separately.</w:t>
      </w:r>
      <w:r w:rsidRPr="005A2ABF">
        <w:t xml:space="preserve"> </w:t>
      </w:r>
    </w:p>
    <w:p w14:paraId="43F450FC" w14:textId="165E44D0" w:rsidR="00247C9F" w:rsidRPr="00247C9F" w:rsidRDefault="00247C9F" w:rsidP="00E835F3">
      <w:pPr>
        <w:pStyle w:val="Heading3"/>
        <w:spacing w:before="240"/>
      </w:pPr>
      <w:r w:rsidRPr="00247C9F">
        <w:t>3.</w:t>
      </w:r>
      <w:r w:rsidR="00BD5A2C">
        <w:t>1</w:t>
      </w:r>
      <w:r w:rsidRPr="00247C9F">
        <w:t xml:space="preserve">.1 </w:t>
      </w:r>
      <w:r w:rsidR="005A2ABF">
        <w:t>Configuration based on BWP: s</w:t>
      </w:r>
      <w:r w:rsidRPr="00247C9F">
        <w:t>ingle cell</w:t>
      </w:r>
    </w:p>
    <w:p w14:paraId="3B7895B7" w14:textId="5BCBE3DD" w:rsidR="005A2ABF" w:rsidRDefault="005A2ABF" w:rsidP="00472F55">
      <w:pPr>
        <w:pStyle w:val="B1"/>
        <w:ind w:left="0" w:firstLine="0"/>
        <w:jc w:val="both"/>
      </w:pPr>
      <w:r>
        <w:t xml:space="preserve">In this case, UE adaptation can be triggered by a power saving cell. The new active BWP to which the adaptation brings is indicated in the power saving signal. </w:t>
      </w:r>
    </w:p>
    <w:p w14:paraId="6227D326" w14:textId="2BE14CAF" w:rsidR="00AD187F" w:rsidRDefault="00AD187F" w:rsidP="00472F55">
      <w:pPr>
        <w:pStyle w:val="B1"/>
        <w:ind w:left="0" w:firstLine="0"/>
        <w:jc w:val="both"/>
      </w:pPr>
      <w:r>
        <w:t>Note that UE adaptation</w:t>
      </w:r>
      <w:r w:rsidR="005A2ABF">
        <w:t xml:space="preserve"> in this case</w:t>
      </w:r>
      <w:r>
        <w:t xml:space="preserve"> may also be triggered by DCI format</w:t>
      </w:r>
      <w:r w:rsidR="000721F8">
        <w:t>s</w:t>
      </w:r>
      <w:r>
        <w:t xml:space="preserve"> 0_1 and 1_1 based on Rel-15 BWP switching mechanism. </w:t>
      </w:r>
    </w:p>
    <w:p w14:paraId="5BDE2199" w14:textId="2E587CB8" w:rsidR="000721F8" w:rsidRDefault="00242171" w:rsidP="000721F8">
      <w:pPr>
        <w:pStyle w:val="Caption"/>
      </w:pPr>
      <w:r>
        <w:t>Proposal</w:t>
      </w:r>
      <w:r>
        <w:t xml:space="preserve"> 10</w:t>
      </w:r>
      <w:r w:rsidR="000721F8">
        <w:t>: In the case of single cell and configuration based on BWP, UE adaptation can be triggered by either power saving cell or DCI formats 0_1 and 1_1.</w:t>
      </w:r>
    </w:p>
    <w:p w14:paraId="25F45E3C" w14:textId="570A26CB" w:rsidR="008161FE" w:rsidRDefault="00247C9F" w:rsidP="00E835F3">
      <w:pPr>
        <w:pStyle w:val="Heading3"/>
        <w:spacing w:before="240"/>
      </w:pPr>
      <w:r>
        <w:t>3.</w:t>
      </w:r>
      <w:r w:rsidR="00BD5A2C">
        <w:t>1</w:t>
      </w:r>
      <w:r>
        <w:t xml:space="preserve">.2 </w:t>
      </w:r>
      <w:r w:rsidR="005A2ABF">
        <w:t>Configuration based on BWP: c</w:t>
      </w:r>
      <w:r w:rsidRPr="00247C9F">
        <w:t>arrier aggregation</w:t>
      </w:r>
    </w:p>
    <w:p w14:paraId="0BABE266" w14:textId="67E93030" w:rsidR="005A2ABF" w:rsidRDefault="00090F70" w:rsidP="00472F55">
      <w:pPr>
        <w:pStyle w:val="B1"/>
        <w:ind w:left="0" w:firstLine="0"/>
        <w:jc w:val="both"/>
      </w:pPr>
      <w:r w:rsidRPr="00090F70">
        <w:t>Figure 3</w:t>
      </w:r>
      <w:r>
        <w:t xml:space="preserve"> is used to illustrate the adaptation mechanism in this case. In the leader cell, the adaptation </w:t>
      </w:r>
      <w:r w:rsidR="00757B5B">
        <w:t>can be</w:t>
      </w:r>
      <w:r>
        <w:t xml:space="preserve"> triggered by either a power saving signal or a DCI format 0_1/1_1. As explained in Section 2.1.2, adaptation in follower cells is </w:t>
      </w:r>
      <w:r w:rsidR="00C94403">
        <w:t xml:space="preserve">autonomous, which is </w:t>
      </w:r>
      <w:r>
        <w:t xml:space="preserve">initiated by adaptation in the associated leader cell. </w:t>
      </w:r>
    </w:p>
    <w:p w14:paraId="5A143971" w14:textId="3729BEF6" w:rsidR="000721F8" w:rsidRDefault="00242171" w:rsidP="000721F8">
      <w:pPr>
        <w:pStyle w:val="Caption"/>
      </w:pPr>
      <w:r>
        <w:t>Proposal</w:t>
      </w:r>
      <w:r>
        <w:t xml:space="preserve"> </w:t>
      </w:r>
      <w:r w:rsidR="000721F8">
        <w:t>1</w:t>
      </w:r>
      <w:r>
        <w:t>1</w:t>
      </w:r>
      <w:r w:rsidR="000721F8">
        <w:t>: In the case of carrier aggregation and configuration based on BWP, UE adaptation in a leader cell can be triggered by either power saving cell or DCI formats 0_1 and 1_1. Adaptation in follower cells is initiated by adaptation in the associated leader cell.</w:t>
      </w:r>
    </w:p>
    <w:p w14:paraId="0172081F" w14:textId="6E9600DC" w:rsidR="005A2ABF" w:rsidRDefault="005A2ABF" w:rsidP="00E835F3">
      <w:pPr>
        <w:pStyle w:val="Heading3"/>
        <w:spacing w:before="240"/>
      </w:pPr>
      <w:r>
        <w:t>3.1.3 Configuration based on BWP + power profile: single cell</w:t>
      </w:r>
    </w:p>
    <w:p w14:paraId="5C191AE0" w14:textId="4716552A" w:rsidR="005A2ABF" w:rsidRDefault="00090F70" w:rsidP="00472F55">
      <w:pPr>
        <w:pStyle w:val="B1"/>
        <w:ind w:left="0" w:firstLine="0"/>
        <w:jc w:val="both"/>
      </w:pPr>
      <w:r>
        <w:t xml:space="preserve">We use </w:t>
      </w:r>
      <w:r w:rsidRPr="00090F70">
        <w:t xml:space="preserve">Figure </w:t>
      </w:r>
      <w:r>
        <w:t xml:space="preserve">6 to explain the adaptation mechanism in this case. In Figure 6(a), the adaptation at BWP level </w:t>
      </w:r>
      <w:r w:rsidR="00757B5B">
        <w:t>can be</w:t>
      </w:r>
      <w:r>
        <w:t xml:space="preserve"> triggered by DCI format 0_1/1_1; the adaptation at to the default power profile level happens autonomously due to the trigger at the BWP level. In Figure 6(b), the adaptation is triggered by a power saving signal.</w:t>
      </w:r>
    </w:p>
    <w:p w14:paraId="66C49E32" w14:textId="06677EEF" w:rsidR="000721F8" w:rsidRDefault="00242171" w:rsidP="000721F8">
      <w:pPr>
        <w:pStyle w:val="Caption"/>
        <w:rPr>
          <w:sz w:val="28"/>
          <w:szCs w:val="28"/>
        </w:rPr>
      </w:pPr>
      <w:r>
        <w:t>Proposal</w:t>
      </w:r>
      <w:r>
        <w:t xml:space="preserve"> </w:t>
      </w:r>
      <w:r w:rsidR="000721F8">
        <w:t>1</w:t>
      </w:r>
      <w:r>
        <w:t>2</w:t>
      </w:r>
      <w:r w:rsidR="000721F8">
        <w:t>: In the case of single cell and configuration based on BWP + power profile, adaptation at BWP level can be triggered by DCI format 0_1/1_1. The adaptation across power profiles of same BWP is triggered by a power saving signal.</w:t>
      </w:r>
    </w:p>
    <w:p w14:paraId="7788B77C" w14:textId="79BB4693" w:rsidR="005A2ABF" w:rsidRDefault="005A2ABF" w:rsidP="00E835F3">
      <w:pPr>
        <w:pStyle w:val="Heading3"/>
        <w:spacing w:before="240"/>
      </w:pPr>
      <w:r>
        <w:lastRenderedPageBreak/>
        <w:t>3.1.4 Configuration based on BWP + power profile: c</w:t>
      </w:r>
      <w:r w:rsidRPr="00247C9F">
        <w:t>arrier aggregation</w:t>
      </w:r>
    </w:p>
    <w:p w14:paraId="02F5E357" w14:textId="3A14EC08" w:rsidR="007A2183" w:rsidRDefault="00C94403" w:rsidP="00472F55">
      <w:pPr>
        <w:pStyle w:val="B1"/>
        <w:ind w:left="0" w:firstLine="0"/>
        <w:jc w:val="both"/>
      </w:pPr>
      <w:r>
        <w:t>In a leader cell, the adaptation is exactly the same as that stated in Section 3.1.3. The adaptation in follower cells is autonomous, which is initiated by adaptation in the associated leader cell.</w:t>
      </w:r>
    </w:p>
    <w:p w14:paraId="0DB3A85F" w14:textId="344C637D" w:rsidR="000721F8" w:rsidRPr="007B7EF0" w:rsidRDefault="00242171" w:rsidP="000721F8">
      <w:pPr>
        <w:pStyle w:val="Caption"/>
      </w:pPr>
      <w:r>
        <w:t>Proposal</w:t>
      </w:r>
      <w:r>
        <w:t xml:space="preserve"> </w:t>
      </w:r>
      <w:r w:rsidR="000721F8">
        <w:t>1</w:t>
      </w:r>
      <w:r>
        <w:t>3</w:t>
      </w:r>
      <w:r w:rsidR="000721F8">
        <w:t>: In the case of carrier aggregation and configuration based on BWP + power profile, adaptation in a leader cell is exactly the same as that in single cell. The adaptation in follower cells is initiated by adaptation in the associated leader cell.</w:t>
      </w:r>
    </w:p>
    <w:p w14:paraId="0140F2AC" w14:textId="79EBDAB1" w:rsidR="009631B3" w:rsidRPr="009631B3" w:rsidRDefault="009631B3" w:rsidP="00E835F3">
      <w:pPr>
        <w:pStyle w:val="Heading2"/>
        <w:spacing w:before="240"/>
      </w:pPr>
      <w:r w:rsidRPr="009631B3">
        <w:t>3.</w:t>
      </w:r>
      <w:r w:rsidR="00BD5A2C">
        <w:t>2</w:t>
      </w:r>
      <w:r w:rsidRPr="009631B3">
        <w:t xml:space="preserve"> </w:t>
      </w:r>
      <w:r w:rsidR="00043474">
        <w:t>Adaptation t</w:t>
      </w:r>
      <w:r w:rsidRPr="009631B3">
        <w:t>riggering by timer</w:t>
      </w:r>
      <w:r w:rsidR="00AD187F">
        <w:t xml:space="preserve"> and </w:t>
      </w:r>
      <w:r w:rsidR="00DC3942">
        <w:t xml:space="preserve">its </w:t>
      </w:r>
      <w:r w:rsidR="00AD187F">
        <w:t>use cases</w:t>
      </w:r>
    </w:p>
    <w:p w14:paraId="2B9A004D" w14:textId="1E5F2900" w:rsidR="009378EE" w:rsidRDefault="00AD187F" w:rsidP="00472F55">
      <w:pPr>
        <w:pStyle w:val="B1"/>
        <w:ind w:left="0" w:firstLine="0"/>
        <w:jc w:val="both"/>
      </w:pPr>
      <w:r>
        <w:t xml:space="preserve">Triggering based on a timer is used when traffic has been digested and becomes sporadic. When UE does not receive valid unicast PDCCH for a period of time, it is expected data have been sent and the chance for </w:t>
      </w:r>
      <w:r w:rsidR="00757B5B">
        <w:t xml:space="preserve">additional </w:t>
      </w:r>
      <w:r>
        <w:t xml:space="preserve">valid PDCCH is low. Therefore UE is adapted to a BWP and/or </w:t>
      </w:r>
      <w:r w:rsidR="00757B5B">
        <w:t xml:space="preserve">a </w:t>
      </w:r>
      <w:r>
        <w:t xml:space="preserve">power profile with infrequent PDCCH monitoring to save power consumption. </w:t>
      </w:r>
    </w:p>
    <w:p w14:paraId="6A30B0C4" w14:textId="77777777" w:rsidR="00757B5B" w:rsidRPr="005A2ABF" w:rsidRDefault="00757B5B" w:rsidP="00472F55">
      <w:pPr>
        <w:pStyle w:val="B1"/>
        <w:ind w:left="0" w:firstLine="0"/>
        <w:jc w:val="both"/>
      </w:pPr>
      <w:r w:rsidRPr="005A2ABF">
        <w:t>In the following</w:t>
      </w:r>
      <w:r>
        <w:t>, four cases are discussed separately.</w:t>
      </w:r>
      <w:r w:rsidRPr="005A2ABF">
        <w:t xml:space="preserve"> </w:t>
      </w:r>
    </w:p>
    <w:p w14:paraId="68FA39E6" w14:textId="77777777" w:rsidR="00757B5B" w:rsidRPr="00247C9F" w:rsidRDefault="00757B5B" w:rsidP="00E835F3">
      <w:pPr>
        <w:pStyle w:val="Heading3"/>
        <w:spacing w:before="240"/>
      </w:pPr>
      <w:r w:rsidRPr="00247C9F">
        <w:t>3.</w:t>
      </w:r>
      <w:r>
        <w:t>1</w:t>
      </w:r>
      <w:r w:rsidRPr="00247C9F">
        <w:t xml:space="preserve">.1 </w:t>
      </w:r>
      <w:r>
        <w:t>Configuration based on BWP: s</w:t>
      </w:r>
      <w:r w:rsidRPr="00247C9F">
        <w:t>ingle cell</w:t>
      </w:r>
    </w:p>
    <w:p w14:paraId="34A3F6E9" w14:textId="177CB69A" w:rsidR="00757B5B" w:rsidRDefault="00757B5B" w:rsidP="00472F55">
      <w:pPr>
        <w:pStyle w:val="B1"/>
        <w:ind w:left="0" w:firstLine="0"/>
        <w:jc w:val="both"/>
      </w:pPr>
      <w:r>
        <w:t xml:space="preserve">In this case, UE adaptation to a BWP with infrequent PDCCH monitoring can be triggered due to time out of a timer based on Rel-15 BWP switching mechanism. </w:t>
      </w:r>
    </w:p>
    <w:p w14:paraId="72DD1C35" w14:textId="192AE0FC" w:rsidR="00607FD5" w:rsidRDefault="00242171" w:rsidP="00607FD5">
      <w:pPr>
        <w:pStyle w:val="Caption"/>
      </w:pPr>
      <w:r>
        <w:t>Proposal</w:t>
      </w:r>
      <w:r>
        <w:t xml:space="preserve"> </w:t>
      </w:r>
      <w:r w:rsidR="00607FD5">
        <w:t>1</w:t>
      </w:r>
      <w:r>
        <w:t>4</w:t>
      </w:r>
      <w:r w:rsidR="00607FD5">
        <w:t>: In the case of single cell and configuration based on BWP, UE adaptation can be triggered by Rel-15 BWP timer.</w:t>
      </w:r>
    </w:p>
    <w:p w14:paraId="11441E71" w14:textId="77777777" w:rsidR="00757B5B" w:rsidRDefault="00757B5B" w:rsidP="00E835F3">
      <w:pPr>
        <w:pStyle w:val="Heading3"/>
        <w:spacing w:before="240"/>
      </w:pPr>
      <w:r>
        <w:t>3.1.2 Configuration based on BWP: c</w:t>
      </w:r>
      <w:r w:rsidRPr="00247C9F">
        <w:t>arrier aggregation</w:t>
      </w:r>
    </w:p>
    <w:p w14:paraId="7D5087B3" w14:textId="0DEEC80A" w:rsidR="00757B5B" w:rsidRDefault="00A8797C" w:rsidP="00472F55">
      <w:pPr>
        <w:pStyle w:val="B1"/>
        <w:ind w:left="0" w:firstLine="0"/>
        <w:jc w:val="both"/>
      </w:pPr>
      <w:r>
        <w:t xml:space="preserve">In </w:t>
      </w:r>
      <w:r w:rsidR="00757B5B" w:rsidRPr="00090F70">
        <w:t>Figure 3</w:t>
      </w:r>
      <w:r>
        <w:t>,</w:t>
      </w:r>
      <w:r w:rsidR="00757B5B">
        <w:t xml:space="preserve"> </w:t>
      </w:r>
      <w:r>
        <w:t>for</w:t>
      </w:r>
      <w:r w:rsidR="00757B5B">
        <w:t xml:space="preserve"> the leader cell, the adaptation </w:t>
      </w:r>
      <w:r>
        <w:t xml:space="preserve">to a BWP with infrequent PDCCH monitoring </w:t>
      </w:r>
      <w:r w:rsidR="00757B5B">
        <w:t xml:space="preserve">can be triggered </w:t>
      </w:r>
      <w:r>
        <w:t>due to time out</w:t>
      </w:r>
      <w:r w:rsidR="00757B5B">
        <w:t xml:space="preserve">. </w:t>
      </w:r>
      <w:r>
        <w:t>A</w:t>
      </w:r>
      <w:r w:rsidR="00757B5B">
        <w:t xml:space="preserve">daptation in follower cells is autonomous, which is initiated by adaptation in the associated leader cell. </w:t>
      </w:r>
    </w:p>
    <w:p w14:paraId="3A4C1AF9" w14:textId="396ED6AC" w:rsidR="00607FD5" w:rsidRDefault="00242171" w:rsidP="00607FD5">
      <w:pPr>
        <w:pStyle w:val="Caption"/>
      </w:pPr>
      <w:r>
        <w:t>Proposal</w:t>
      </w:r>
      <w:r>
        <w:t xml:space="preserve"> </w:t>
      </w:r>
      <w:r w:rsidR="00607FD5">
        <w:t>1</w:t>
      </w:r>
      <w:r>
        <w:t>5</w:t>
      </w:r>
      <w:r w:rsidR="00607FD5">
        <w:t>: In the case of carrier aggregation and configuration based on BWP, UE adaptation in a leader cell can be triggered by Rel-15 BWP timer. Adaptation in follower cells is initiated by adaptation in the associated leader cell.</w:t>
      </w:r>
    </w:p>
    <w:p w14:paraId="1572D624" w14:textId="77777777" w:rsidR="00757B5B" w:rsidRDefault="00757B5B" w:rsidP="00E835F3">
      <w:pPr>
        <w:pStyle w:val="Heading3"/>
        <w:spacing w:before="240"/>
      </w:pPr>
      <w:r>
        <w:t>3.1.3 Configuration based on BWP + power profile: single cell</w:t>
      </w:r>
    </w:p>
    <w:p w14:paraId="691005FD" w14:textId="71316AD6" w:rsidR="00A8797C" w:rsidRDefault="00A8797C" w:rsidP="00472F55">
      <w:pPr>
        <w:pStyle w:val="B1"/>
        <w:ind w:left="0" w:firstLine="0"/>
        <w:jc w:val="both"/>
      </w:pPr>
      <w:r>
        <w:t>For the configuration method of BWP + power profile, assume the timer for BWP adaptation expires at a duration T</w:t>
      </w:r>
      <w:r>
        <w:rPr>
          <w:vertAlign w:val="subscript"/>
        </w:rPr>
        <w:t>1</w:t>
      </w:r>
      <w:r>
        <w:t>, then the timer for adaptation of power profiles under the BWP expires at a duration T</w:t>
      </w:r>
      <w:r>
        <w:rPr>
          <w:vertAlign w:val="subscript"/>
        </w:rPr>
        <w:t>2</w:t>
      </w:r>
      <w:r>
        <w:t xml:space="preserve"> which is less than T</w:t>
      </w:r>
      <w:r>
        <w:rPr>
          <w:vertAlign w:val="subscript"/>
        </w:rPr>
        <w:t>1</w:t>
      </w:r>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868"/>
      </w:tblGrid>
      <w:tr w:rsidR="00A8797C" w14:paraId="2FBEA86E" w14:textId="77777777" w:rsidTr="00C87E4C">
        <w:tc>
          <w:tcPr>
            <w:tcW w:w="4868" w:type="dxa"/>
            <w:tcBorders>
              <w:right w:val="single" w:sz="8" w:space="0" w:color="auto"/>
            </w:tcBorders>
            <w:vAlign w:val="bottom"/>
          </w:tcPr>
          <w:p w14:paraId="7B42D7BF" w14:textId="60C51E35" w:rsidR="00A8797C" w:rsidRDefault="00A8797C" w:rsidP="00C87E4C">
            <w:pPr>
              <w:overflowPunct/>
              <w:autoSpaceDE/>
              <w:autoSpaceDN/>
              <w:adjustRightInd/>
              <w:spacing w:after="0"/>
              <w:jc w:val="center"/>
              <w:textAlignment w:val="auto"/>
              <w:rPr>
                <w:sz w:val="28"/>
                <w:szCs w:val="28"/>
              </w:rPr>
            </w:pPr>
            <w:r>
              <w:object w:dxaOrig="11136" w:dyaOrig="6072" w14:anchorId="15683E37">
                <v:shape id="_x0000_i1027" type="#_x0000_t75" style="width:231pt;height:126pt" o:ole="">
                  <v:imagedata r:id="rId17" o:title=""/>
                </v:shape>
                <o:OLEObject Type="Embed" ProgID="PBrush" ShapeID="_x0000_i1027" DrawAspect="Content" ObjectID="_1602695039" r:id="rId18"/>
              </w:object>
            </w:r>
          </w:p>
        </w:tc>
        <w:tc>
          <w:tcPr>
            <w:tcW w:w="4868" w:type="dxa"/>
            <w:tcBorders>
              <w:left w:val="single" w:sz="8" w:space="0" w:color="auto"/>
            </w:tcBorders>
            <w:vAlign w:val="bottom"/>
          </w:tcPr>
          <w:p w14:paraId="4E5BB86A" w14:textId="0133EB7D" w:rsidR="00A8797C" w:rsidRDefault="00A8797C" w:rsidP="00C87E4C">
            <w:pPr>
              <w:overflowPunct/>
              <w:autoSpaceDE/>
              <w:autoSpaceDN/>
              <w:adjustRightInd/>
              <w:spacing w:after="0"/>
              <w:jc w:val="center"/>
              <w:textAlignment w:val="auto"/>
              <w:rPr>
                <w:sz w:val="28"/>
                <w:szCs w:val="28"/>
              </w:rPr>
            </w:pPr>
            <w:r>
              <w:object w:dxaOrig="10548" w:dyaOrig="7236" w14:anchorId="1D63C78D">
                <v:shape id="_x0000_i1028" type="#_x0000_t75" style="width:229.5pt;height:156pt" o:ole="">
                  <v:imagedata r:id="rId19" o:title=""/>
                </v:shape>
                <o:OLEObject Type="Embed" ProgID="PBrush" ShapeID="_x0000_i1028" DrawAspect="Content" ObjectID="_1602695040" r:id="rId20"/>
              </w:object>
            </w:r>
          </w:p>
        </w:tc>
      </w:tr>
      <w:tr w:rsidR="00A8797C" w14:paraId="0E0A9FAF" w14:textId="77777777" w:rsidTr="00C87E4C">
        <w:trPr>
          <w:trHeight w:val="257"/>
        </w:trPr>
        <w:tc>
          <w:tcPr>
            <w:tcW w:w="4868" w:type="dxa"/>
          </w:tcPr>
          <w:p w14:paraId="40504958" w14:textId="77777777" w:rsidR="00A8797C" w:rsidRPr="00767B55" w:rsidRDefault="00A8797C" w:rsidP="00C87E4C">
            <w:pPr>
              <w:overflowPunct/>
              <w:autoSpaceDE/>
              <w:autoSpaceDN/>
              <w:adjustRightInd/>
              <w:spacing w:after="0"/>
              <w:jc w:val="center"/>
              <w:textAlignment w:val="auto"/>
              <w:rPr>
                <w:rFonts w:ascii="Times New Roman" w:hAnsi="Times New Roman"/>
              </w:rPr>
            </w:pPr>
            <w:r w:rsidRPr="00767B55">
              <w:rPr>
                <w:rFonts w:ascii="Times New Roman" w:hAnsi="Times New Roman"/>
              </w:rPr>
              <w:t>(a)</w:t>
            </w:r>
          </w:p>
        </w:tc>
        <w:tc>
          <w:tcPr>
            <w:tcW w:w="4868" w:type="dxa"/>
          </w:tcPr>
          <w:p w14:paraId="631A9673" w14:textId="77777777" w:rsidR="00A8797C" w:rsidRPr="00767B55" w:rsidRDefault="00A8797C" w:rsidP="00C87E4C">
            <w:pPr>
              <w:overflowPunct/>
              <w:autoSpaceDE/>
              <w:autoSpaceDN/>
              <w:adjustRightInd/>
              <w:spacing w:after="0"/>
              <w:jc w:val="center"/>
              <w:textAlignment w:val="auto"/>
              <w:rPr>
                <w:rFonts w:ascii="Times New Roman" w:hAnsi="Times New Roman"/>
              </w:rPr>
            </w:pPr>
            <w:r w:rsidRPr="00767B55">
              <w:rPr>
                <w:rFonts w:ascii="Times New Roman" w:hAnsi="Times New Roman"/>
              </w:rPr>
              <w:t>(b</w:t>
            </w:r>
            <w:r>
              <w:rPr>
                <w:rFonts w:ascii="Times New Roman" w:hAnsi="Times New Roman"/>
              </w:rPr>
              <w:t>)</w:t>
            </w:r>
          </w:p>
        </w:tc>
      </w:tr>
    </w:tbl>
    <w:p w14:paraId="489CB140" w14:textId="67E59497" w:rsidR="00A8797C" w:rsidRPr="00A91901" w:rsidRDefault="00A8797C" w:rsidP="00A8797C">
      <w:pPr>
        <w:overflowPunct/>
        <w:autoSpaceDE/>
        <w:autoSpaceDN/>
        <w:adjustRightInd/>
        <w:spacing w:before="120" w:after="240"/>
        <w:jc w:val="center"/>
        <w:textAlignment w:val="auto"/>
        <w:rPr>
          <w:rFonts w:ascii="Times New Roman" w:hAnsi="Times New Roman"/>
          <w:b/>
        </w:rPr>
      </w:pPr>
      <w:r>
        <w:rPr>
          <w:rFonts w:ascii="Times New Roman" w:hAnsi="Times New Roman"/>
          <w:b/>
        </w:rPr>
        <w:t>Figure 7</w:t>
      </w:r>
      <w:r w:rsidRPr="00A91901">
        <w:rPr>
          <w:rFonts w:ascii="Times New Roman" w:hAnsi="Times New Roman"/>
          <w:b/>
        </w:rPr>
        <w:t>.</w:t>
      </w:r>
      <w:r>
        <w:rPr>
          <w:rFonts w:ascii="Times New Roman" w:hAnsi="Times New Roman"/>
          <w:b/>
        </w:rPr>
        <w:t xml:space="preserve"> </w:t>
      </w:r>
      <w:r>
        <w:rPr>
          <w:rFonts w:ascii="Times New Roman" w:hAnsi="Times New Roman"/>
        </w:rPr>
        <w:t xml:space="preserve">Mechanism of </w:t>
      </w:r>
      <w:r w:rsidR="00D67FBD">
        <w:rPr>
          <w:rFonts w:ascii="Times New Roman" w:hAnsi="Times New Roman"/>
        </w:rPr>
        <w:t xml:space="preserve">adaptation due to </w:t>
      </w:r>
      <w:r>
        <w:rPr>
          <w:rFonts w:ascii="Times New Roman" w:hAnsi="Times New Roman"/>
        </w:rPr>
        <w:t>time out in the configuration method of BWP + power profile</w:t>
      </w:r>
    </w:p>
    <w:p w14:paraId="718DDD25" w14:textId="4C0447C6" w:rsidR="00757B5B" w:rsidRDefault="00A8797C" w:rsidP="00472F55">
      <w:pPr>
        <w:pStyle w:val="B1"/>
        <w:ind w:left="0" w:firstLine="0"/>
        <w:jc w:val="both"/>
      </w:pPr>
      <w:r>
        <w:t xml:space="preserve">In Figure 7, the mechanism of adaptation due to time out in the configuration method of BWP + power profile is depicted. In </w:t>
      </w:r>
      <w:r w:rsidR="00757B5B" w:rsidRPr="00090F70">
        <w:t xml:space="preserve">Figure </w:t>
      </w:r>
      <w:r>
        <w:t>7</w:t>
      </w:r>
      <w:r w:rsidR="00757B5B">
        <w:t xml:space="preserve">(a), the adaptation at </w:t>
      </w:r>
      <w:r>
        <w:t>power profile</w:t>
      </w:r>
      <w:r w:rsidR="00757B5B">
        <w:t xml:space="preserve"> level </w:t>
      </w:r>
      <w:r>
        <w:t>is</w:t>
      </w:r>
      <w:r w:rsidR="00757B5B">
        <w:t xml:space="preserve"> triggered by </w:t>
      </w:r>
      <w:r>
        <w:t>a timer which expires at time duration T</w:t>
      </w:r>
      <w:r w:rsidRPr="00A8797C">
        <w:rPr>
          <w:vertAlign w:val="subscript"/>
        </w:rPr>
        <w:t>2</w:t>
      </w:r>
      <w:r>
        <w:t>. When the duration T</w:t>
      </w:r>
      <w:r w:rsidRPr="00A8797C">
        <w:rPr>
          <w:vertAlign w:val="subscript"/>
        </w:rPr>
        <w:t>1</w:t>
      </w:r>
      <w:r>
        <w:t xml:space="preserve"> is reached, adaptation from BWP</w:t>
      </w:r>
      <w:r w:rsidR="00472F55">
        <w:t xml:space="preserve"> </w:t>
      </w:r>
      <w:r>
        <w:t>2 to BWP</w:t>
      </w:r>
      <w:r w:rsidR="00472F55">
        <w:t xml:space="preserve"> </w:t>
      </w:r>
      <w:r>
        <w:t>1 is triggered</w:t>
      </w:r>
      <w:r w:rsidR="00607FD5">
        <w:t xml:space="preserve"> as shown in Figure 7(b)</w:t>
      </w:r>
      <w:r>
        <w:t>; at the same time, the default power profile of BWP</w:t>
      </w:r>
      <w:r w:rsidR="00472F55">
        <w:t xml:space="preserve"> </w:t>
      </w:r>
      <w:r>
        <w:t>1 becomes active.</w:t>
      </w:r>
    </w:p>
    <w:p w14:paraId="78A38381" w14:textId="032AB83F" w:rsidR="00607FD5" w:rsidRDefault="00242171" w:rsidP="00607FD5">
      <w:pPr>
        <w:pStyle w:val="Caption"/>
        <w:rPr>
          <w:sz w:val="28"/>
          <w:szCs w:val="28"/>
        </w:rPr>
      </w:pPr>
      <w:r>
        <w:lastRenderedPageBreak/>
        <w:t>Proposal</w:t>
      </w:r>
      <w:r>
        <w:t xml:space="preserve"> 16</w:t>
      </w:r>
      <w:r w:rsidR="00607FD5">
        <w:t>: In the case of single cell and configuration based on BWP + power profile, adaptation at power profile level can be triggered by a timer which expires at time duration T</w:t>
      </w:r>
      <w:r w:rsidR="00607FD5" w:rsidRPr="00A8797C">
        <w:rPr>
          <w:vertAlign w:val="subscript"/>
        </w:rPr>
        <w:t>2</w:t>
      </w:r>
      <w:r w:rsidR="00607FD5">
        <w:t>. When the duration T</w:t>
      </w:r>
      <w:r w:rsidR="00607FD5" w:rsidRPr="00A8797C">
        <w:rPr>
          <w:vertAlign w:val="subscript"/>
        </w:rPr>
        <w:t>1</w:t>
      </w:r>
      <w:r w:rsidR="00607FD5" w:rsidRPr="00607FD5">
        <w:t xml:space="preserve"> (&gt;T</w:t>
      </w:r>
      <w:r w:rsidR="00607FD5" w:rsidRPr="00607FD5">
        <w:rPr>
          <w:vertAlign w:val="subscript"/>
        </w:rPr>
        <w:t>2</w:t>
      </w:r>
      <w:r w:rsidR="00607FD5" w:rsidRPr="00607FD5">
        <w:t>)</w:t>
      </w:r>
      <w:r w:rsidR="00607FD5">
        <w:t xml:space="preserve"> is reached, adaptation across BWPs is triggered.</w:t>
      </w:r>
    </w:p>
    <w:p w14:paraId="6A69CBE0" w14:textId="77777777" w:rsidR="00757B5B" w:rsidRDefault="00757B5B" w:rsidP="00E835F3">
      <w:pPr>
        <w:pStyle w:val="Heading3"/>
        <w:spacing w:before="240"/>
      </w:pPr>
      <w:r>
        <w:t>3.1.4 Configuration based on BWP + power profile: c</w:t>
      </w:r>
      <w:r w:rsidRPr="00247C9F">
        <w:t>arrier aggregation</w:t>
      </w:r>
    </w:p>
    <w:p w14:paraId="3ECDFA1C" w14:textId="4189C52E" w:rsidR="00757B5B" w:rsidRDefault="00757B5B" w:rsidP="00472F55">
      <w:pPr>
        <w:pStyle w:val="B1"/>
        <w:ind w:left="0" w:firstLine="0"/>
        <w:jc w:val="both"/>
      </w:pPr>
      <w:r>
        <w:t xml:space="preserve">In a leader cell, the adaptation is exactly the same as that stated in Section 3.1.3. The adaptation in </w:t>
      </w:r>
      <w:r w:rsidR="00394303">
        <w:t xml:space="preserve">associated </w:t>
      </w:r>
      <w:r>
        <w:t>follower cells is autonomous</w:t>
      </w:r>
      <w:r w:rsidR="00394303">
        <w:t>, which is initiated by adaptation in the leader cell. The determination of active BWP in the follower cell is based on the bundling relation of at the BWP level. Similarly, the determination of active power profile in the follower cell is based on the bundling relation of at the power profile level.</w:t>
      </w:r>
      <w:r>
        <w:t xml:space="preserve"> </w:t>
      </w:r>
    </w:p>
    <w:p w14:paraId="0A20B645" w14:textId="06115F2B" w:rsidR="00607FD5" w:rsidRPr="007B7EF0" w:rsidRDefault="00242171" w:rsidP="00607FD5">
      <w:pPr>
        <w:pStyle w:val="Caption"/>
      </w:pPr>
      <w:r>
        <w:t>Proposal</w:t>
      </w:r>
      <w:r>
        <w:t xml:space="preserve"> 17</w:t>
      </w:r>
      <w:r w:rsidR="00607FD5">
        <w:t>: In the case of carrier aggregation and configuration based on BWP + power profile, adaptation in a leader cell due to time out is exactly the same as that in single cell. The adaptation in follower cells is initiated by adaptation in the associated leader cell.</w:t>
      </w:r>
    </w:p>
    <w:p w14:paraId="77F55755" w14:textId="56771478" w:rsidR="00FE531C" w:rsidRDefault="00020AFA" w:rsidP="00FE531C">
      <w:pPr>
        <w:pStyle w:val="Heading1"/>
        <w:spacing w:after="120"/>
        <w:jc w:val="both"/>
      </w:pPr>
      <w:r>
        <w:t>4. A</w:t>
      </w:r>
      <w:r w:rsidR="00FE531C">
        <w:t>ssistance information</w:t>
      </w:r>
      <w:r>
        <w:t xml:space="preserve"> provided by UE</w:t>
      </w:r>
    </w:p>
    <w:p w14:paraId="47F4247C" w14:textId="7B45F4B8" w:rsidR="00A17BED" w:rsidRDefault="00020AFA" w:rsidP="00A17BED">
      <w:pPr>
        <w:pStyle w:val="B1"/>
        <w:ind w:left="0" w:firstLine="0"/>
        <w:jc w:val="both"/>
      </w:pPr>
      <w:r>
        <w:t>Under some conditions, a</w:t>
      </w:r>
      <w:r w:rsidR="00167171">
        <w:t>ssistance information</w:t>
      </w:r>
      <w:r>
        <w:t xml:space="preserve"> </w:t>
      </w:r>
      <w:r w:rsidR="00A17BED">
        <w:t>from</w:t>
      </w:r>
      <w:r>
        <w:t xml:space="preserve"> </w:t>
      </w:r>
      <w:r w:rsidR="00A17BED">
        <w:t xml:space="preserve">a </w:t>
      </w:r>
      <w:r>
        <w:t xml:space="preserve">UE is helpful to effectiveness of UE power saving. </w:t>
      </w:r>
      <w:r w:rsidR="00A17BED">
        <w:t xml:space="preserve">This relies on a UE to provide some information which is unknown to the gNB. </w:t>
      </w:r>
      <w:r>
        <w:t xml:space="preserve">For example, </w:t>
      </w:r>
      <w:r w:rsidR="00A17BED">
        <w:t xml:space="preserve">when a user turns on an app in the UE, the forthcoming traffic characteristic is highly dependent on the type of the application (e.g., instant message, video streaming, etc.) and can be predicted. In this case, UE is able to provide useful assistance information such as the index of BWP and/or power profile which is the most suitable to the coming traffic. </w:t>
      </w:r>
    </w:p>
    <w:p w14:paraId="45CA3CD1" w14:textId="2E3A8533" w:rsidR="00A17BED" w:rsidRDefault="00A17BED" w:rsidP="00A17BED">
      <w:pPr>
        <w:pStyle w:val="B1"/>
        <w:ind w:left="0" w:firstLine="0"/>
        <w:jc w:val="both"/>
      </w:pPr>
      <w:r>
        <w:t xml:space="preserve">Another use case of assistance information from a UE is when the UE is going to run out of the battery or when the UE is in an overheated condition. This information is unknown to the network and can only be provided from the UE itself. </w:t>
      </w:r>
    </w:p>
    <w:p w14:paraId="5731BEF8" w14:textId="06A52229" w:rsidR="007B737B" w:rsidRDefault="007B737B" w:rsidP="007B737B">
      <w:pPr>
        <w:pStyle w:val="Caption"/>
      </w:pPr>
      <w:r>
        <w:t xml:space="preserve">Observation </w:t>
      </w:r>
      <w:r w:rsidR="009A66EC">
        <w:t>5</w:t>
      </w:r>
      <w:r>
        <w:t>: Assistance information from UE is helpful to power saving in some situations. For example, a) when an app is turned on, b) when running out of the battery, and c) when UE is in overheated situation.</w:t>
      </w:r>
    </w:p>
    <w:p w14:paraId="10F28E64" w14:textId="64D4B1FD" w:rsidR="009A66EC" w:rsidRPr="009A66EC" w:rsidRDefault="009A66EC" w:rsidP="009A66EC">
      <w:pPr>
        <w:pStyle w:val="Caption"/>
      </w:pPr>
      <w:r>
        <w:t>Proposal 18: Assistance information from UE include the index of BWP and/or power profile.</w:t>
      </w:r>
    </w:p>
    <w:p w14:paraId="75900F28" w14:textId="517BB7FA" w:rsidR="00D76DB5" w:rsidRDefault="00FE531C" w:rsidP="006D4147">
      <w:pPr>
        <w:pStyle w:val="Heading1"/>
        <w:spacing w:after="120"/>
        <w:jc w:val="both"/>
      </w:pPr>
      <w:r>
        <w:t>5</w:t>
      </w:r>
      <w:r w:rsidR="0017353E">
        <w:t>.</w:t>
      </w:r>
      <w:r w:rsidR="00D76DB5">
        <w:t xml:space="preserve"> Conclusion</w:t>
      </w:r>
    </w:p>
    <w:p w14:paraId="42EA85F0" w14:textId="0BDF6A6B" w:rsidR="007B737B" w:rsidRPr="0018538F" w:rsidRDefault="007B737B" w:rsidP="007B737B">
      <w:pPr>
        <w:pStyle w:val="B1"/>
        <w:ind w:left="0" w:firstLine="0"/>
        <w:jc w:val="both"/>
        <w:rPr>
          <w:sz w:val="22"/>
        </w:rPr>
      </w:pPr>
      <w:r>
        <w:t>In this paper, the adaptation framework for UE power saving was studied. We discussed how the adapted parameters can be configured as well as the trigger of adaptation. Some opinions on the assistance information</w:t>
      </w:r>
      <w:r w:rsidR="005B6178">
        <w:t xml:space="preserve"> from UE was also provided. P</w:t>
      </w:r>
      <w:r w:rsidR="00335D1D">
        <w:t xml:space="preserve">roposals and </w:t>
      </w:r>
      <w:r>
        <w:t xml:space="preserve">observations from the discussion are summarized below.  </w:t>
      </w:r>
      <w:r>
        <w:rPr>
          <w:sz w:val="22"/>
        </w:rPr>
        <w:t xml:space="preserve"> </w:t>
      </w:r>
    </w:p>
    <w:p w14:paraId="41B8830F" w14:textId="711C3D98" w:rsidR="007B737B" w:rsidRPr="00F33E39" w:rsidRDefault="00335D1D" w:rsidP="007B737B">
      <w:pPr>
        <w:pStyle w:val="Caption"/>
      </w:pPr>
      <w:r>
        <w:t>Proposal</w:t>
      </w:r>
      <w:r w:rsidR="007B737B" w:rsidRPr="00F33E39">
        <w:t xml:space="preserve"> 1: </w:t>
      </w:r>
      <w:r w:rsidR="007B737B" w:rsidRPr="00F33E39">
        <w:rPr>
          <w:rStyle w:val="Emphasis"/>
          <w:i w:val="0"/>
          <w:iCs w:val="0"/>
        </w:rPr>
        <w:t>When adapted parameters configuration is based on BWP, each BWP targets for a particular traffic characteristic. The indicated values of parameters in each BWP are chosen in a power efficient manner so that the performance is not degraded under the associated traffic characteristic.</w:t>
      </w:r>
    </w:p>
    <w:p w14:paraId="3A2557FB" w14:textId="01AD9C30" w:rsidR="007B737B" w:rsidRPr="00F33E39" w:rsidRDefault="00335D1D" w:rsidP="007B737B">
      <w:pPr>
        <w:pStyle w:val="Caption"/>
      </w:pPr>
      <w:r>
        <w:t>Proposal</w:t>
      </w:r>
      <w:r w:rsidR="007B737B" w:rsidRPr="00F33E39">
        <w:t xml:space="preserve"> 2: </w:t>
      </w:r>
      <w:r w:rsidR="007B737B" w:rsidRPr="00F33E39">
        <w:rPr>
          <w:rStyle w:val="Emphasis"/>
          <w:i w:val="0"/>
          <w:iCs w:val="0"/>
        </w:rPr>
        <w:t>Since t</w:t>
      </w:r>
      <w:r w:rsidR="007B737B" w:rsidRPr="00F33E39">
        <w:t>he active power consumption configuration of each serving cell should fit the current traffic characteristic</w:t>
      </w:r>
      <w:r w:rsidR="007B737B" w:rsidRPr="00F33E39">
        <w:rPr>
          <w:rStyle w:val="Emphasis"/>
          <w:i w:val="0"/>
          <w:iCs w:val="0"/>
        </w:rPr>
        <w:t xml:space="preserve">, </w:t>
      </w:r>
      <w:r w:rsidR="007B737B" w:rsidRPr="00F33E39">
        <w:t xml:space="preserve">BWPs which are associated with the same traffic characteristic across serving cells </w:t>
      </w:r>
      <w:r w:rsidR="007B737B" w:rsidRPr="00F33E39">
        <w:rPr>
          <w:rStyle w:val="Emphasis"/>
          <w:i w:val="0"/>
          <w:iCs w:val="0"/>
        </w:rPr>
        <w:t>should</w:t>
      </w:r>
      <w:r w:rsidR="007B737B" w:rsidRPr="00F33E39">
        <w:t xml:space="preserve"> be bundled. </w:t>
      </w:r>
    </w:p>
    <w:p w14:paraId="2697FF40" w14:textId="247FD9ED" w:rsidR="007B737B" w:rsidRPr="00AB0A10" w:rsidRDefault="00335D1D" w:rsidP="007B737B">
      <w:pPr>
        <w:pStyle w:val="Caption"/>
        <w:rPr>
          <w:i/>
        </w:rPr>
      </w:pPr>
      <w:r>
        <w:t>Proposal</w:t>
      </w:r>
      <w:r w:rsidR="007B737B" w:rsidRPr="00AB0A10">
        <w:t xml:space="preserve"> 3: In the case of carrier aggregation,</w:t>
      </w:r>
      <w:r w:rsidR="007B737B" w:rsidRPr="00AB0A10">
        <w:rPr>
          <w:i/>
        </w:rPr>
        <w:t xml:space="preserve"> </w:t>
      </w:r>
      <w:r w:rsidR="007B737B" w:rsidRPr="00AB0A10">
        <w:rPr>
          <w:rStyle w:val="Emphasis"/>
          <w:rFonts w:cs="Arial"/>
          <w:i w:val="0"/>
        </w:rPr>
        <w:t>some cells are selected as leader cells; each leader cell is associate with a set of follower cells. An adaptation of power consumption configuration in a leader cell initiates a configuration adaptation in the associated follower cells.</w:t>
      </w:r>
    </w:p>
    <w:p w14:paraId="08AC552A" w14:textId="198EF0BC" w:rsidR="007B737B" w:rsidRPr="00F33E39" w:rsidRDefault="007B737B" w:rsidP="007B737B">
      <w:pPr>
        <w:pStyle w:val="Caption"/>
        <w:rPr>
          <w:rStyle w:val="Emphasis"/>
          <w:rFonts w:cs="Arial"/>
          <w:i w:val="0"/>
        </w:rPr>
      </w:pPr>
      <w:r w:rsidRPr="00F33E39">
        <w:rPr>
          <w:rStyle w:val="Emphasis"/>
          <w:rFonts w:cs="Arial"/>
          <w:i w:val="0"/>
        </w:rPr>
        <w:t xml:space="preserve">Observation </w:t>
      </w:r>
      <w:r w:rsidR="00335D1D">
        <w:rPr>
          <w:rStyle w:val="Emphasis"/>
          <w:rFonts w:cs="Arial"/>
          <w:i w:val="0"/>
        </w:rPr>
        <w:t>1</w:t>
      </w:r>
      <w:r w:rsidRPr="00F33E39">
        <w:rPr>
          <w:rStyle w:val="Emphasis"/>
          <w:rFonts w:cs="Arial"/>
          <w:i w:val="0"/>
        </w:rPr>
        <w:t xml:space="preserve">: Advantage of </w:t>
      </w:r>
      <w:r>
        <w:rPr>
          <w:rStyle w:val="Emphasis"/>
          <w:rFonts w:cs="Arial"/>
          <w:i w:val="0"/>
        </w:rPr>
        <w:t xml:space="preserve">the </w:t>
      </w:r>
      <w:r w:rsidRPr="00F33E39">
        <w:rPr>
          <w:rStyle w:val="Emphasis"/>
          <w:rFonts w:cs="Arial"/>
          <w:i w:val="0"/>
        </w:rPr>
        <w:t>bundling</w:t>
      </w:r>
      <w:r>
        <w:rPr>
          <w:rStyle w:val="Emphasis"/>
          <w:rFonts w:cs="Arial"/>
          <w:i w:val="0"/>
        </w:rPr>
        <w:t xml:space="preserve"> concept</w:t>
      </w:r>
      <w:r w:rsidRPr="00F33E39">
        <w:rPr>
          <w:rStyle w:val="Emphasis"/>
          <w:rFonts w:cs="Arial"/>
          <w:i w:val="0"/>
        </w:rPr>
        <w:t xml:space="preserve"> includes a) less overhead in adaptation triggering, and b) simplicity in coordination of adaptation among serving cells.</w:t>
      </w:r>
    </w:p>
    <w:p w14:paraId="68B8B895" w14:textId="37255B73" w:rsidR="007B737B" w:rsidRPr="00F33E39" w:rsidRDefault="007B737B" w:rsidP="007B737B">
      <w:pPr>
        <w:pStyle w:val="Caption"/>
      </w:pPr>
      <w:r w:rsidRPr="00F33E39">
        <w:rPr>
          <w:rStyle w:val="Emphasis"/>
          <w:i w:val="0"/>
          <w:iCs w:val="0"/>
        </w:rPr>
        <w:t xml:space="preserve">Observation </w:t>
      </w:r>
      <w:r w:rsidR="00335D1D">
        <w:rPr>
          <w:rStyle w:val="Emphasis"/>
          <w:i w:val="0"/>
          <w:iCs w:val="0"/>
        </w:rPr>
        <w:t>2</w:t>
      </w:r>
      <w:r w:rsidRPr="00F33E39">
        <w:rPr>
          <w:rStyle w:val="Emphasis"/>
          <w:i w:val="0"/>
          <w:iCs w:val="0"/>
        </w:rPr>
        <w:t>: The advantage of power adaptation based on BWP is Rel-15</w:t>
      </w:r>
      <w:r w:rsidRPr="00F33E39">
        <w:t xml:space="preserve"> functionality can be directly reused</w:t>
      </w:r>
      <w:r w:rsidRPr="00F33E39">
        <w:rPr>
          <w:rStyle w:val="Emphasis"/>
          <w:i w:val="0"/>
          <w:iCs w:val="0"/>
        </w:rPr>
        <w:t>.</w:t>
      </w:r>
    </w:p>
    <w:p w14:paraId="118E2E22" w14:textId="30C4FDCE" w:rsidR="007B737B" w:rsidRPr="00F33E39" w:rsidRDefault="007B737B" w:rsidP="007B737B">
      <w:pPr>
        <w:pStyle w:val="Caption"/>
      </w:pPr>
      <w:r w:rsidRPr="00F33E39">
        <w:rPr>
          <w:rStyle w:val="Emphasis"/>
          <w:i w:val="0"/>
          <w:iCs w:val="0"/>
        </w:rPr>
        <w:t xml:space="preserve">Observation </w:t>
      </w:r>
      <w:r w:rsidR="00335D1D">
        <w:rPr>
          <w:rStyle w:val="Emphasis"/>
          <w:i w:val="0"/>
          <w:iCs w:val="0"/>
        </w:rPr>
        <w:t>3</w:t>
      </w:r>
      <w:r w:rsidRPr="00F33E39">
        <w:rPr>
          <w:rStyle w:val="Emphasis"/>
          <w:i w:val="0"/>
          <w:iCs w:val="0"/>
        </w:rPr>
        <w:t xml:space="preserve">: Shortcoming of power adaptation based on BWP includes a) </w:t>
      </w:r>
      <w:r w:rsidRPr="00F33E39">
        <w:t>flexibility in adaptation is limited if the number</w:t>
      </w:r>
      <w:r w:rsidR="00AF4393">
        <w:t xml:space="preserve"> of configured BWPs is small</w:t>
      </w:r>
      <w:r w:rsidRPr="00F33E39">
        <w:rPr>
          <w:rStyle w:val="Emphasis"/>
          <w:i w:val="0"/>
          <w:iCs w:val="0"/>
        </w:rPr>
        <w:t xml:space="preserve">, b) </w:t>
      </w:r>
      <w:r w:rsidRPr="00F33E39">
        <w:t>long transition time of BWP switching may lead to inefficient operation when adaptation is frequent</w:t>
      </w:r>
      <w:r w:rsidRPr="00F33E39">
        <w:rPr>
          <w:rStyle w:val="Emphasis"/>
          <w:i w:val="0"/>
          <w:iCs w:val="0"/>
        </w:rPr>
        <w:t xml:space="preserve">, </w:t>
      </w:r>
      <w:r>
        <w:rPr>
          <w:rStyle w:val="Emphasis"/>
          <w:i w:val="0"/>
          <w:iCs w:val="0"/>
        </w:rPr>
        <w:t xml:space="preserve">and </w:t>
      </w:r>
      <w:r w:rsidRPr="00F33E39">
        <w:rPr>
          <w:rStyle w:val="Emphasis"/>
          <w:i w:val="0"/>
          <w:iCs w:val="0"/>
        </w:rPr>
        <w:t>c) additional handling is needed for non-BWP specific and non-link-direction specific parameters.</w:t>
      </w:r>
    </w:p>
    <w:p w14:paraId="283509FD" w14:textId="0CEEF4EF" w:rsidR="007B737B" w:rsidRDefault="007B737B" w:rsidP="007B737B">
      <w:pPr>
        <w:pStyle w:val="Caption"/>
      </w:pPr>
      <w:r>
        <w:lastRenderedPageBreak/>
        <w:t xml:space="preserve">Observation </w:t>
      </w:r>
      <w:r w:rsidR="00335D1D">
        <w:t>4</w:t>
      </w:r>
      <w:r>
        <w:t>: A large number of MIMO layers is not helpful when a) transport block size is small, b) UE is in a low SINR region, and c) UE is not in rich multipath channel. In these cases, the maximum</w:t>
      </w:r>
      <w:r w:rsidR="00CF6344">
        <w:t xml:space="preserve"> </w:t>
      </w:r>
      <w:r>
        <w:t>number of MIMO layers can be reduced to save UE power consumption.</w:t>
      </w:r>
    </w:p>
    <w:p w14:paraId="7570E3F2" w14:textId="62489A92" w:rsidR="007B737B" w:rsidRDefault="00335D1D" w:rsidP="007B737B">
      <w:pPr>
        <w:pStyle w:val="Caption"/>
      </w:pPr>
      <w:r>
        <w:t>Proposal</w:t>
      </w:r>
      <w:r w:rsidR="007B737B">
        <w:t xml:space="preserve"> </w:t>
      </w:r>
      <w:r>
        <w:t>4</w:t>
      </w:r>
      <w:r w:rsidR="007B737B">
        <w:t xml:space="preserve">: A power profile comprises a set of restrictions on the indicated values of power consumption relevant parameters. Its motivation is achieving power saving by means of limiting the </w:t>
      </w:r>
      <w:bookmarkStart w:id="4" w:name="_GoBack"/>
      <w:bookmarkEnd w:id="4"/>
      <w:r w:rsidR="007B737B">
        <w:t>ranges of indicated values.</w:t>
      </w:r>
    </w:p>
    <w:p w14:paraId="7B460145" w14:textId="362DDADB" w:rsidR="007B737B" w:rsidRDefault="00335D1D" w:rsidP="007B737B">
      <w:pPr>
        <w:pStyle w:val="Caption"/>
      </w:pPr>
      <w:r>
        <w:t>Proposal 5</w:t>
      </w:r>
      <w:r w:rsidR="007B737B">
        <w:t>: When the configuration method of BWP + power profile is used, only one power profile is active in a BWP. The parameter configuration of each power profile corresponds to a specific traffic characteristic.</w:t>
      </w:r>
    </w:p>
    <w:p w14:paraId="47ABBCCF" w14:textId="36F51C1D" w:rsidR="007B737B" w:rsidRDefault="00335D1D" w:rsidP="007B737B">
      <w:pPr>
        <w:pStyle w:val="Caption"/>
      </w:pPr>
      <w:r>
        <w:t xml:space="preserve">Proposal </w:t>
      </w:r>
      <w:r>
        <w:t>6</w:t>
      </w:r>
      <w:r w:rsidR="007B737B">
        <w:t>: When the configuration method of BWP + power profile is used, power profiles are used only for b</w:t>
      </w:r>
      <w:r w:rsidR="007B737B" w:rsidRPr="00B115C0">
        <w:t>aseband processing relevant parameters</w:t>
      </w:r>
      <w:r w:rsidR="007B737B">
        <w:t xml:space="preserve"> to save adaptation transition time</w:t>
      </w:r>
      <w:r w:rsidR="007B737B" w:rsidRPr="00B115C0">
        <w:t>.</w:t>
      </w:r>
    </w:p>
    <w:p w14:paraId="53950F74" w14:textId="43D8EB09" w:rsidR="007B737B" w:rsidRPr="00A91901" w:rsidRDefault="00335D1D" w:rsidP="007B737B">
      <w:pPr>
        <w:pStyle w:val="Caption"/>
      </w:pPr>
      <w:r>
        <w:t xml:space="preserve">Proposal </w:t>
      </w:r>
      <w:r>
        <w:t>7</w:t>
      </w:r>
      <w:r w:rsidR="007B737B">
        <w:t>: When the configuration method of BWP + power profile is used, if UE is adapted to a new active BWP, the default power profile of the new active BWP becomes active; to adapt to a non-default power profile, a further adaptation is from the default power profile to the target power profile.</w:t>
      </w:r>
    </w:p>
    <w:p w14:paraId="5316764C" w14:textId="42BCE3C0" w:rsidR="007B737B" w:rsidRPr="000B4793" w:rsidRDefault="00335D1D" w:rsidP="007B737B">
      <w:pPr>
        <w:pStyle w:val="Caption"/>
      </w:pPr>
      <w:r>
        <w:t xml:space="preserve">Proposal </w:t>
      </w:r>
      <w:r>
        <w:t>8</w:t>
      </w:r>
      <w:r w:rsidR="007B737B">
        <w:t>: In the case of carrier aggregation, the adaptation mechanism of BWP + power profile configuration at the BWP level is the same as the adaptation mechanism in solely BWP configuration. A power profile adaptation in a leader cell initiates a bundled power profile adaptation in associated follower cells.</w:t>
      </w:r>
    </w:p>
    <w:p w14:paraId="534D2409" w14:textId="1DA0E89B" w:rsidR="007B737B" w:rsidRDefault="00335D1D" w:rsidP="007B737B">
      <w:pPr>
        <w:pStyle w:val="Caption"/>
      </w:pPr>
      <w:r>
        <w:t xml:space="preserve">Proposal </w:t>
      </w:r>
      <w:r>
        <w:t>9</w:t>
      </w:r>
      <w:r w:rsidR="007B737B">
        <w:t>: Two types of adaptation triggering can be used: triggers based on power saving signals and triggers based on timer.</w:t>
      </w:r>
    </w:p>
    <w:p w14:paraId="008B7A87" w14:textId="0BA63538" w:rsidR="007B737B" w:rsidRDefault="00335D1D" w:rsidP="007B737B">
      <w:pPr>
        <w:pStyle w:val="Caption"/>
      </w:pPr>
      <w:r>
        <w:t xml:space="preserve">Proposal </w:t>
      </w:r>
      <w:r>
        <w:t>10</w:t>
      </w:r>
      <w:r w:rsidR="007B737B">
        <w:t>: In the case of single cell and configuration based on BWP, UE adaptation can be triggered by either power saving cell or DCI formats 0_1 and 1_1.</w:t>
      </w:r>
    </w:p>
    <w:p w14:paraId="65E72384" w14:textId="5B480A50" w:rsidR="007B737B" w:rsidRDefault="00335D1D" w:rsidP="007B737B">
      <w:pPr>
        <w:pStyle w:val="Caption"/>
      </w:pPr>
      <w:r>
        <w:t xml:space="preserve">Proposal </w:t>
      </w:r>
      <w:r>
        <w:t>11</w:t>
      </w:r>
      <w:r w:rsidR="007B737B">
        <w:t>: In the case of carrier aggregation and configuration based on BWP, UE adaptation in a leader cell can be triggered by either power saving cell or DCI formats 0_1 and 1_1. Adaptation in follower cells is initiated by adaptation in the associated leader cell.</w:t>
      </w:r>
    </w:p>
    <w:p w14:paraId="5910EDBB" w14:textId="6ADA1E61" w:rsidR="007B737B" w:rsidRDefault="00335D1D" w:rsidP="007B737B">
      <w:pPr>
        <w:pStyle w:val="Caption"/>
        <w:rPr>
          <w:sz w:val="28"/>
          <w:szCs w:val="28"/>
        </w:rPr>
      </w:pPr>
      <w:r>
        <w:t xml:space="preserve">Proposal </w:t>
      </w:r>
      <w:r>
        <w:t>12</w:t>
      </w:r>
      <w:r w:rsidR="007B737B">
        <w:t>: In the case of single cell and configuration based on BWP + power profile, adaptation at BWP level can be triggered by DCI format 0_1/1_1. The adaptation across power profiles of same BWP is triggered by a power saving signal.</w:t>
      </w:r>
    </w:p>
    <w:p w14:paraId="58F6E5B4" w14:textId="2A18FCF7" w:rsidR="007B737B" w:rsidRPr="007B7EF0" w:rsidRDefault="00335D1D" w:rsidP="007B737B">
      <w:pPr>
        <w:pStyle w:val="Caption"/>
      </w:pPr>
      <w:r>
        <w:t xml:space="preserve">Proposal </w:t>
      </w:r>
      <w:r>
        <w:t>13</w:t>
      </w:r>
      <w:r w:rsidR="007B737B">
        <w:t>: In the case of carrier aggregation and configuration based on BWP + power profile, adaptation in a leader cell is exactly the same as that in single cell. The adaptation in follower cells is initiated by adaptation in the associated leader cell.</w:t>
      </w:r>
    </w:p>
    <w:p w14:paraId="5727882A" w14:textId="2B8D4BDD" w:rsidR="007B737B" w:rsidRDefault="00335D1D" w:rsidP="007B737B">
      <w:pPr>
        <w:pStyle w:val="Caption"/>
      </w:pPr>
      <w:r>
        <w:t xml:space="preserve">Proposal </w:t>
      </w:r>
      <w:r>
        <w:t>14</w:t>
      </w:r>
      <w:r w:rsidR="007B737B">
        <w:t>: In the case of single cell and configuration based on BWP, UE adaptation can be triggered by Rel-15 BWP timer.</w:t>
      </w:r>
    </w:p>
    <w:p w14:paraId="2835EE87" w14:textId="0FEEBF80" w:rsidR="007B737B" w:rsidRDefault="00335D1D" w:rsidP="007B737B">
      <w:pPr>
        <w:pStyle w:val="Caption"/>
      </w:pPr>
      <w:r>
        <w:t xml:space="preserve">Proposal </w:t>
      </w:r>
      <w:r>
        <w:t>1</w:t>
      </w:r>
      <w:r>
        <w:t>5</w:t>
      </w:r>
      <w:r w:rsidR="007B737B">
        <w:t>: In the case of carrier aggregation and configuration based on BWP, UE adaptation in a leader cell can be triggered by Rel-15 BWP timer. Adaptation in follower cells is initiated by adaptation in the associated leader cell.</w:t>
      </w:r>
    </w:p>
    <w:p w14:paraId="5A8A9BE2" w14:textId="7C907A3A" w:rsidR="007B737B" w:rsidRDefault="00335D1D" w:rsidP="007B737B">
      <w:pPr>
        <w:pStyle w:val="Caption"/>
        <w:rPr>
          <w:sz w:val="28"/>
          <w:szCs w:val="28"/>
        </w:rPr>
      </w:pPr>
      <w:r>
        <w:t xml:space="preserve">Proposal </w:t>
      </w:r>
      <w:r>
        <w:t>16</w:t>
      </w:r>
      <w:r w:rsidR="007B737B">
        <w:t>: In the case of single cell and configuration based on BWP + power profile, adaptation at power profile level can be triggered by a timer which expires at time duration T</w:t>
      </w:r>
      <w:r w:rsidR="007B737B" w:rsidRPr="00A8797C">
        <w:rPr>
          <w:vertAlign w:val="subscript"/>
        </w:rPr>
        <w:t>2</w:t>
      </w:r>
      <w:r w:rsidR="007B737B">
        <w:t>. When the duration T</w:t>
      </w:r>
      <w:r w:rsidR="007B737B" w:rsidRPr="00A8797C">
        <w:rPr>
          <w:vertAlign w:val="subscript"/>
        </w:rPr>
        <w:t>1</w:t>
      </w:r>
      <w:r w:rsidR="007B737B" w:rsidRPr="00607FD5">
        <w:t xml:space="preserve"> (&gt;T</w:t>
      </w:r>
      <w:r w:rsidR="007B737B" w:rsidRPr="00607FD5">
        <w:rPr>
          <w:vertAlign w:val="subscript"/>
        </w:rPr>
        <w:t>2</w:t>
      </w:r>
      <w:r w:rsidR="007B737B" w:rsidRPr="00607FD5">
        <w:t>)</w:t>
      </w:r>
      <w:r w:rsidR="007B737B">
        <w:t xml:space="preserve"> is reached, adaptation across BWPs is triggered.</w:t>
      </w:r>
    </w:p>
    <w:p w14:paraId="3255D11B" w14:textId="50E097E4" w:rsidR="007B737B" w:rsidRPr="007B7EF0" w:rsidRDefault="00335D1D" w:rsidP="007B737B">
      <w:pPr>
        <w:pStyle w:val="Caption"/>
      </w:pPr>
      <w:r>
        <w:t xml:space="preserve">Proposal </w:t>
      </w:r>
      <w:r>
        <w:t>17</w:t>
      </w:r>
      <w:r w:rsidR="007B737B">
        <w:t>: In the case of carrier aggregation and configuration based on BWP + power profile, adaptation in a leader cell due to time out is exactly the same as that in single cell. The adaptation in follower cells is initiated by adaptation in the associated leader cell.</w:t>
      </w:r>
    </w:p>
    <w:p w14:paraId="7B5EAE3F" w14:textId="6FF1E5CA" w:rsidR="00392F03" w:rsidRDefault="007B737B" w:rsidP="007B737B">
      <w:pPr>
        <w:pStyle w:val="Caption"/>
      </w:pPr>
      <w:r>
        <w:t xml:space="preserve">Observation </w:t>
      </w:r>
      <w:r w:rsidR="00335D1D">
        <w:t>5</w:t>
      </w:r>
      <w:r>
        <w:t>: Assistance information from UE is helpful to power saving in some situations. For example, a) when an app is turned on, b) when running out of the battery, and c) when UE is in overheated situation.</w:t>
      </w:r>
    </w:p>
    <w:p w14:paraId="2E096474" w14:textId="374B7EDA" w:rsidR="00335D1D" w:rsidRPr="00335D1D" w:rsidRDefault="00335D1D" w:rsidP="00335D1D">
      <w:pPr>
        <w:pStyle w:val="Caption"/>
      </w:pPr>
      <w:r>
        <w:t>Proposal 18: Assistance information from UE include the index of BWP and/or power profile.</w:t>
      </w:r>
    </w:p>
    <w:p w14:paraId="2D6019FD" w14:textId="50E37D87" w:rsidR="00700F9C" w:rsidRDefault="00FE531C" w:rsidP="006D4147">
      <w:pPr>
        <w:pStyle w:val="Heading1"/>
        <w:jc w:val="both"/>
      </w:pPr>
      <w:r>
        <w:t>6</w:t>
      </w:r>
      <w:r w:rsidR="0017353E">
        <w:t>.</w:t>
      </w:r>
      <w:r w:rsidR="00291158">
        <w:t xml:space="preserve"> </w:t>
      </w:r>
      <w:r w:rsidR="00700F9C">
        <w:t>References</w:t>
      </w:r>
    </w:p>
    <w:p w14:paraId="6A73FF19" w14:textId="5C178EB2" w:rsidR="001C022F" w:rsidRDefault="001C022F" w:rsidP="001C022F">
      <w:pPr>
        <w:pStyle w:val="ListParagraph"/>
        <w:numPr>
          <w:ilvl w:val="0"/>
          <w:numId w:val="35"/>
        </w:numPr>
        <w:ind w:left="284" w:hanging="284"/>
        <w:rPr>
          <w:rFonts w:ascii="Times New Roman" w:hAnsi="Times New Roman"/>
        </w:rPr>
      </w:pPr>
      <w:r>
        <w:rPr>
          <w:rFonts w:ascii="Times New Roman" w:hAnsi="Times New Roman"/>
        </w:rPr>
        <w:t>R1-1812360, “</w:t>
      </w:r>
      <w:r w:rsidRPr="001C022F">
        <w:rPr>
          <w:rFonts w:ascii="Times New Roman" w:hAnsi="Times New Roman"/>
        </w:rPr>
        <w:t>Evaluation methodology for UE power saving</w:t>
      </w:r>
      <w:r>
        <w:rPr>
          <w:rFonts w:ascii="Times New Roman" w:hAnsi="Times New Roman"/>
        </w:rPr>
        <w:t>,” MediaTek Inc., RAN1#95.</w:t>
      </w:r>
    </w:p>
    <w:p w14:paraId="3CFEC77D" w14:textId="63AC9074" w:rsidR="006421F1" w:rsidRPr="0054227A" w:rsidRDefault="00C233BA" w:rsidP="00C233BA">
      <w:pPr>
        <w:pStyle w:val="ListParagraph"/>
        <w:numPr>
          <w:ilvl w:val="0"/>
          <w:numId w:val="35"/>
        </w:numPr>
        <w:ind w:left="284" w:hanging="284"/>
        <w:rPr>
          <w:rFonts w:ascii="Times New Roman" w:hAnsi="Times New Roman"/>
        </w:rPr>
      </w:pPr>
      <w:r>
        <w:rPr>
          <w:rFonts w:ascii="Times New Roman" w:hAnsi="Times New Roman"/>
        </w:rPr>
        <w:t>R1-1812362, “</w:t>
      </w:r>
      <w:r w:rsidRPr="00C233BA">
        <w:rPr>
          <w:rFonts w:ascii="Times New Roman" w:hAnsi="Times New Roman"/>
        </w:rPr>
        <w:t>Triggering adaptation for UE power saving</w:t>
      </w:r>
      <w:r>
        <w:rPr>
          <w:rFonts w:ascii="Times New Roman" w:hAnsi="Times New Roman"/>
        </w:rPr>
        <w:t>,” MediaTek Inc., RAN1#95.</w:t>
      </w:r>
    </w:p>
    <w:sectPr w:rsidR="006421F1" w:rsidRPr="0054227A" w:rsidSect="00B3474F">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961DA" w14:textId="77777777" w:rsidR="006A0838" w:rsidRDefault="006A0838" w:rsidP="00BD754F">
      <w:pPr>
        <w:spacing w:after="0"/>
      </w:pPr>
      <w:r>
        <w:separator/>
      </w:r>
    </w:p>
  </w:endnote>
  <w:endnote w:type="continuationSeparator" w:id="0">
    <w:p w14:paraId="2EE68F1A" w14:textId="77777777" w:rsidR="006A0838" w:rsidRDefault="006A0838"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D34C5" w14:textId="77777777" w:rsidR="006A0838" w:rsidRDefault="006A0838" w:rsidP="00BD754F">
      <w:pPr>
        <w:spacing w:after="0"/>
      </w:pPr>
      <w:r>
        <w:separator/>
      </w:r>
    </w:p>
  </w:footnote>
  <w:footnote w:type="continuationSeparator" w:id="0">
    <w:p w14:paraId="41DEABB8" w14:textId="77777777" w:rsidR="006A0838" w:rsidRDefault="006A0838"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C23AE636"/>
    <w:lvl w:ilvl="0" w:tplc="84F88426">
      <w:start w:val="1"/>
      <w:numFmt w:val="decimal"/>
      <w:lvlText w:val="[%1]"/>
      <w:lvlJc w:val="left"/>
      <w:pPr>
        <w:ind w:left="360" w:hanging="360"/>
      </w:pPr>
      <w:rPr>
        <w:rFonts w:hint="eastAsia"/>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D10B5A"/>
    <w:multiLevelType w:val="hybridMultilevel"/>
    <w:tmpl w:val="359AA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F4630"/>
    <w:multiLevelType w:val="hybridMultilevel"/>
    <w:tmpl w:val="ADBEF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C92585"/>
    <w:multiLevelType w:val="multilevel"/>
    <w:tmpl w:val="E0A824F4"/>
    <w:lvl w:ilvl="0">
      <w:start w:val="1"/>
      <w:numFmt w:val="bullet"/>
      <w:lvlText w:val=""/>
      <w:lvlJc w:val="left"/>
      <w:pPr>
        <w:ind w:left="360" w:hanging="360"/>
      </w:pPr>
      <w:rPr>
        <w:rFonts w:ascii="Symbol" w:hAnsi="Symbol" w:hint="default"/>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5E4BE3"/>
    <w:multiLevelType w:val="hybridMultilevel"/>
    <w:tmpl w:val="FBE66F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CF2C93"/>
    <w:multiLevelType w:val="hybridMultilevel"/>
    <w:tmpl w:val="93AA43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D40154"/>
    <w:multiLevelType w:val="hybridMultilevel"/>
    <w:tmpl w:val="29785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3A0390"/>
    <w:multiLevelType w:val="multilevel"/>
    <w:tmpl w:val="83606F48"/>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o"/>
      <w:lvlJc w:val="left"/>
      <w:pPr>
        <w:ind w:left="1224" w:hanging="504"/>
      </w:pPr>
      <w:rPr>
        <w:rFonts w:ascii="Courier New" w:hAnsi="Courier New" w:cs="Courier New" w:hint="default"/>
      </w:rPr>
    </w:lvl>
    <w:lvl w:ilvl="3">
      <w:start w:val="1"/>
      <w:numFmt w:val="bullet"/>
      <w:lvlText w:val=""/>
      <w:lvlJc w:val="left"/>
      <w:pPr>
        <w:ind w:left="1728" w:hanging="648"/>
      </w:pPr>
      <w:rPr>
        <w:rFonts w:ascii="Wingdings" w:hAnsi="Wingdings" w:hint="default"/>
      </w:rPr>
    </w:lvl>
    <w:lvl w:ilvl="4">
      <w:numFmt w:val="bullet"/>
      <w:lvlText w:val="–"/>
      <w:lvlJc w:val="left"/>
      <w:pPr>
        <w:ind w:left="2232" w:hanging="792"/>
      </w:pPr>
      <w:rPr>
        <w:rFonts w:ascii="Arial" w:hAnsi="Arial" w:cs="Times New Roman" w:hint="default"/>
      </w:rPr>
    </w:lvl>
    <w:lvl w:ilvl="5">
      <w:numFmt w:val="bullet"/>
      <w:lvlText w:val="–"/>
      <w:lvlJc w:val="left"/>
      <w:pPr>
        <w:ind w:left="2736" w:hanging="936"/>
      </w:pPr>
      <w:rPr>
        <w:rFonts w:ascii="Arial" w:hAnsi="Arial" w:cs="Times New Roman" w:hint="default"/>
      </w:rPr>
    </w:lvl>
    <w:lvl w:ilvl="6">
      <w:start w:val="1"/>
      <w:numFmt w:val="bullet"/>
      <w:lvlText w:val=""/>
      <w:lvlJc w:val="left"/>
      <w:pPr>
        <w:ind w:left="3240" w:hanging="1080"/>
      </w:pPr>
      <w:rPr>
        <w:rFonts w:ascii="Wingdings" w:hAnsi="Wingdings" w:hint="default"/>
      </w:rPr>
    </w:lvl>
    <w:lvl w:ilvl="7">
      <w:start w:val="1"/>
      <w:numFmt w:val="bullet"/>
      <w:lvlText w:val=""/>
      <w:lvlJc w:val="left"/>
      <w:pPr>
        <w:ind w:left="3744" w:hanging="1224"/>
      </w:pPr>
      <w:rPr>
        <w:rFonts w:ascii="Wingdings" w:hAnsi="Wingdings" w:hint="default"/>
      </w:rPr>
    </w:lvl>
    <w:lvl w:ilvl="8">
      <w:start w:val="1"/>
      <w:numFmt w:val="decimal"/>
      <w:lvlText w:val="%1.%2.%3.%4.%5.%6.%7.%8.%9."/>
      <w:lvlJc w:val="left"/>
      <w:pPr>
        <w:ind w:left="4320" w:hanging="1440"/>
      </w:pPr>
    </w:lvl>
  </w:abstractNum>
  <w:abstractNum w:abstractNumId="11" w15:restartNumberingAfterBreak="0">
    <w:nsid w:val="2BB20F6E"/>
    <w:multiLevelType w:val="multilevel"/>
    <w:tmpl w:val="59708D7C"/>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o"/>
      <w:lvlJc w:val="left"/>
      <w:pPr>
        <w:ind w:left="1224" w:hanging="504"/>
      </w:pPr>
      <w:rPr>
        <w:rFonts w:ascii="Courier New" w:hAnsi="Courier New" w:cs="Courier New" w:hint="default"/>
      </w:rPr>
    </w:lvl>
    <w:lvl w:ilvl="3">
      <w:start w:val="1"/>
      <w:numFmt w:val="bullet"/>
      <w:lvlText w:val=""/>
      <w:lvlJc w:val="left"/>
      <w:pPr>
        <w:ind w:left="1728" w:hanging="648"/>
      </w:pPr>
      <w:rPr>
        <w:rFonts w:ascii="Wingdings" w:hAnsi="Wingdings" w:hint="default"/>
      </w:rPr>
    </w:lvl>
    <w:lvl w:ilvl="4">
      <w:numFmt w:val="bullet"/>
      <w:lvlText w:val="–"/>
      <w:lvlJc w:val="left"/>
      <w:pPr>
        <w:ind w:left="2232" w:hanging="792"/>
      </w:pPr>
      <w:rPr>
        <w:rFonts w:ascii="Arial" w:hAnsi="Arial" w:cs="Times New Roman" w:hint="default"/>
      </w:rPr>
    </w:lvl>
    <w:lvl w:ilvl="5">
      <w:numFmt w:val="bullet"/>
      <w:lvlText w:val="–"/>
      <w:lvlJc w:val="left"/>
      <w:pPr>
        <w:ind w:left="2736" w:hanging="936"/>
      </w:pPr>
      <w:rPr>
        <w:rFonts w:ascii="Arial" w:hAnsi="Arial" w:cs="Times New Roman" w:hint="default"/>
      </w:rPr>
    </w:lvl>
    <w:lvl w:ilvl="6">
      <w:start w:val="1"/>
      <w:numFmt w:val="bullet"/>
      <w:lvlText w:val=""/>
      <w:lvlJc w:val="left"/>
      <w:pPr>
        <w:ind w:left="3240" w:hanging="1080"/>
      </w:pPr>
      <w:rPr>
        <w:rFonts w:ascii="Wingdings" w:hAnsi="Wingdings" w:hint="default"/>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AD7B5F"/>
    <w:multiLevelType w:val="hybridMultilevel"/>
    <w:tmpl w:val="9D9AA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DF2F34"/>
    <w:multiLevelType w:val="hybridMultilevel"/>
    <w:tmpl w:val="25D6D4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694398"/>
    <w:multiLevelType w:val="hybridMultilevel"/>
    <w:tmpl w:val="9970D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34E44"/>
    <w:multiLevelType w:val="hybridMultilevel"/>
    <w:tmpl w:val="7E0E5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2C0779"/>
    <w:multiLevelType w:val="hybridMultilevel"/>
    <w:tmpl w:val="BCB6047C"/>
    <w:lvl w:ilvl="0" w:tplc="423C519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BA4F93"/>
    <w:multiLevelType w:val="multilevel"/>
    <w:tmpl w:val="E28A7988"/>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o"/>
      <w:lvlJc w:val="left"/>
      <w:pPr>
        <w:ind w:left="1224" w:hanging="504"/>
      </w:pPr>
      <w:rPr>
        <w:rFonts w:ascii="Courier New" w:hAnsi="Courier New" w:cs="Courier New" w:hint="default"/>
      </w:rPr>
    </w:lvl>
    <w:lvl w:ilvl="3">
      <w:start w:val="1"/>
      <w:numFmt w:val="bullet"/>
      <w:lvlText w:val=""/>
      <w:lvlJc w:val="left"/>
      <w:pPr>
        <w:ind w:left="1728" w:hanging="648"/>
      </w:pPr>
      <w:rPr>
        <w:rFonts w:ascii="Wingdings" w:hAnsi="Wingdings" w:hint="default"/>
      </w:rPr>
    </w:lvl>
    <w:lvl w:ilvl="4">
      <w:numFmt w:val="bullet"/>
      <w:lvlText w:val="–"/>
      <w:lvlJc w:val="left"/>
      <w:pPr>
        <w:ind w:left="2232" w:hanging="792"/>
      </w:pPr>
      <w:rPr>
        <w:rFonts w:ascii="Arial" w:hAnsi="Arial" w:cs="Times New Roman" w:hint="default"/>
      </w:rPr>
    </w:lvl>
    <w:lvl w:ilvl="5">
      <w:numFmt w:val="bullet"/>
      <w:lvlText w:val="–"/>
      <w:lvlJc w:val="left"/>
      <w:pPr>
        <w:ind w:left="2736" w:hanging="936"/>
      </w:pPr>
      <w:rPr>
        <w:rFonts w:ascii="Arial" w:hAnsi="Arial" w:cs="Times New Roman" w:hint="default"/>
      </w:rPr>
    </w:lvl>
    <w:lvl w:ilvl="6">
      <w:start w:val="1"/>
      <w:numFmt w:val="bullet"/>
      <w:lvlText w:val=""/>
      <w:lvlJc w:val="left"/>
      <w:pPr>
        <w:ind w:left="3240" w:hanging="1080"/>
      </w:pPr>
      <w:rPr>
        <w:rFonts w:ascii="Wingdings" w:hAnsi="Wingdings" w:hint="default"/>
      </w:rPr>
    </w:lvl>
    <w:lvl w:ilvl="7">
      <w:start w:val="1"/>
      <w:numFmt w:val="bullet"/>
      <w:lvlText w:val=""/>
      <w:lvlJc w:val="left"/>
      <w:pPr>
        <w:ind w:left="3744" w:hanging="1224"/>
      </w:pPr>
      <w:rPr>
        <w:rFonts w:ascii="Wingdings" w:hAnsi="Wingdings" w:hint="default"/>
      </w:rPr>
    </w:lvl>
    <w:lvl w:ilvl="8">
      <w:start w:val="1"/>
      <w:numFmt w:val="bullet"/>
      <w:lvlText w:val=""/>
      <w:lvlJc w:val="left"/>
      <w:pPr>
        <w:ind w:left="4320" w:hanging="1440"/>
      </w:pPr>
      <w:rPr>
        <w:rFonts w:ascii="Wingdings" w:hAnsi="Wingdings" w:hint="default"/>
      </w:rPr>
    </w:lvl>
  </w:abstractNum>
  <w:abstractNum w:abstractNumId="2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08133EC"/>
    <w:multiLevelType w:val="hybridMultilevel"/>
    <w:tmpl w:val="262E3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E215BE"/>
    <w:multiLevelType w:val="hybridMultilevel"/>
    <w:tmpl w:val="8FB8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CC4DB7"/>
    <w:multiLevelType w:val="hybridMultilevel"/>
    <w:tmpl w:val="3ECEB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AF4E11"/>
    <w:multiLevelType w:val="multilevel"/>
    <w:tmpl w:val="35649B1E"/>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o"/>
      <w:lvlJc w:val="left"/>
      <w:pPr>
        <w:ind w:left="1224" w:hanging="504"/>
      </w:pPr>
      <w:rPr>
        <w:rFonts w:ascii="Courier New" w:hAnsi="Courier New" w:cs="Courier New" w:hint="default"/>
      </w:rPr>
    </w:lvl>
    <w:lvl w:ilvl="3">
      <w:start w:val="1"/>
      <w:numFmt w:val="bullet"/>
      <w:lvlText w:val=""/>
      <w:lvlJc w:val="left"/>
      <w:pPr>
        <w:ind w:left="1728" w:hanging="648"/>
      </w:pPr>
      <w:rPr>
        <w:rFonts w:ascii="Wingdings" w:hAnsi="Wingdings" w:hint="default"/>
      </w:rPr>
    </w:lvl>
    <w:lvl w:ilvl="4">
      <w:numFmt w:val="bullet"/>
      <w:lvlText w:val="–"/>
      <w:lvlJc w:val="left"/>
      <w:pPr>
        <w:ind w:left="2232" w:hanging="792"/>
      </w:pPr>
      <w:rPr>
        <w:rFonts w:ascii="Arial" w:hAnsi="Arial" w:cs="Times New Roman" w:hint="default"/>
      </w:rPr>
    </w:lvl>
    <w:lvl w:ilvl="5">
      <w:start w:val="1"/>
      <w:numFmt w:val="bullet"/>
      <w:lvlText w:val=""/>
      <w:lvlJc w:val="left"/>
      <w:pPr>
        <w:ind w:left="2736" w:hanging="936"/>
      </w:pPr>
      <w:rPr>
        <w:rFonts w:ascii="Wingdings" w:hAnsi="Wingding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FF84ABE"/>
    <w:multiLevelType w:val="multilevel"/>
    <w:tmpl w:val="42529EE8"/>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o"/>
      <w:lvlJc w:val="left"/>
      <w:pPr>
        <w:ind w:left="1224" w:hanging="504"/>
      </w:pPr>
      <w:rPr>
        <w:rFonts w:ascii="Courier New" w:hAnsi="Courier New" w:cs="Courier New" w:hint="default"/>
      </w:rPr>
    </w:lvl>
    <w:lvl w:ilvl="3">
      <w:start w:val="1"/>
      <w:numFmt w:val="bullet"/>
      <w:lvlText w:val=""/>
      <w:lvlJc w:val="left"/>
      <w:pPr>
        <w:ind w:left="1728" w:hanging="648"/>
      </w:pPr>
      <w:rPr>
        <w:rFonts w:ascii="Wingdings" w:hAnsi="Wingdings" w:hint="default"/>
      </w:rPr>
    </w:lvl>
    <w:lvl w:ilvl="4">
      <w:numFmt w:val="bullet"/>
      <w:lvlText w:val="–"/>
      <w:lvlJc w:val="left"/>
      <w:pPr>
        <w:ind w:left="2232" w:hanging="792"/>
      </w:pPr>
      <w:rPr>
        <w:rFonts w:ascii="Arial" w:hAnsi="Arial" w:cs="Times New Roman" w:hint="default"/>
      </w:rPr>
    </w:lvl>
    <w:lvl w:ilvl="5">
      <w:start w:val="1"/>
      <w:numFmt w:val="bullet"/>
      <w:lvlText w:val=""/>
      <w:lvlJc w:val="left"/>
      <w:pPr>
        <w:ind w:left="2736" w:hanging="936"/>
      </w:pPr>
      <w:rPr>
        <w:rFonts w:ascii="Wingdings" w:hAnsi="Wingding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1AB746B"/>
    <w:multiLevelType w:val="hybridMultilevel"/>
    <w:tmpl w:val="1B362B6C"/>
    <w:lvl w:ilvl="0" w:tplc="84F884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B67220"/>
    <w:multiLevelType w:val="hybridMultilevel"/>
    <w:tmpl w:val="7D14F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143691"/>
    <w:multiLevelType w:val="multilevel"/>
    <w:tmpl w:val="BFD25C46"/>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o"/>
      <w:lvlJc w:val="left"/>
      <w:pPr>
        <w:ind w:left="1224" w:hanging="504"/>
      </w:pPr>
      <w:rPr>
        <w:rFonts w:ascii="Courier New" w:hAnsi="Courier New" w:cs="Courier New" w:hint="default"/>
      </w:rPr>
    </w:lvl>
    <w:lvl w:ilvl="3">
      <w:start w:val="1"/>
      <w:numFmt w:val="bullet"/>
      <w:lvlText w:val=""/>
      <w:lvlJc w:val="left"/>
      <w:pPr>
        <w:ind w:left="1728" w:hanging="648"/>
      </w:pPr>
      <w:rPr>
        <w:rFonts w:ascii="Wingdings" w:hAnsi="Wingdings" w:hint="default"/>
      </w:rPr>
    </w:lvl>
    <w:lvl w:ilvl="4">
      <w:start w:val="1"/>
      <w:numFmt w:val="bullet"/>
      <w:lvlText w:val=""/>
      <w:lvlJc w:val="left"/>
      <w:pPr>
        <w:ind w:left="2232" w:hanging="792"/>
      </w:pPr>
      <w:rPr>
        <w:rFonts w:ascii="Wingdings" w:hAnsi="Wingding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E50052A"/>
    <w:multiLevelType w:val="hybridMultilevel"/>
    <w:tmpl w:val="9AF65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3"/>
  </w:num>
  <w:num w:numId="3">
    <w:abstractNumId w:val="0"/>
  </w:num>
  <w:num w:numId="4">
    <w:abstractNumId w:val="2"/>
  </w:num>
  <w:num w:numId="5">
    <w:abstractNumId w:val="26"/>
  </w:num>
  <w:num w:numId="6">
    <w:abstractNumId w:val="19"/>
  </w:num>
  <w:num w:numId="7">
    <w:abstractNumId w:val="5"/>
  </w:num>
  <w:num w:numId="8">
    <w:abstractNumId w:val="27"/>
  </w:num>
  <w:num w:numId="9">
    <w:abstractNumId w:val="18"/>
  </w:num>
  <w:num w:numId="10">
    <w:abstractNumId w:val="13"/>
  </w:num>
  <w:num w:numId="11">
    <w:abstractNumId w:val="1"/>
  </w:num>
  <w:num w:numId="12">
    <w:abstractNumId w:val="21"/>
  </w:num>
  <w:num w:numId="13">
    <w:abstractNumId w:val="7"/>
  </w:num>
  <w:num w:numId="14">
    <w:abstractNumId w:val="7"/>
  </w:num>
  <w:num w:numId="15">
    <w:abstractNumId w:val="4"/>
  </w:num>
  <w:num w:numId="16">
    <w:abstractNumId w:val="9"/>
  </w:num>
  <w:num w:numId="17">
    <w:abstractNumId w:val="34"/>
  </w:num>
  <w:num w:numId="18">
    <w:abstractNumId w:val="3"/>
  </w:num>
  <w:num w:numId="19">
    <w:abstractNumId w:val="16"/>
  </w:num>
  <w:num w:numId="20">
    <w:abstractNumId w:val="12"/>
  </w:num>
  <w:num w:numId="21">
    <w:abstractNumId w:val="32"/>
  </w:num>
  <w:num w:numId="22">
    <w:abstractNumId w:val="8"/>
  </w:num>
  <w:num w:numId="23">
    <w:abstractNumId w:val="6"/>
  </w:num>
  <w:num w:numId="24">
    <w:abstractNumId w:val="15"/>
  </w:num>
  <w:num w:numId="25">
    <w:abstractNumId w:val="33"/>
  </w:num>
  <w:num w:numId="26">
    <w:abstractNumId w:val="30"/>
  </w:num>
  <w:num w:numId="27">
    <w:abstractNumId w:val="29"/>
  </w:num>
  <w:num w:numId="28">
    <w:abstractNumId w:val="10"/>
  </w:num>
  <w:num w:numId="29">
    <w:abstractNumId w:val="11"/>
  </w:num>
  <w:num w:numId="30">
    <w:abstractNumId w:val="20"/>
  </w:num>
  <w:num w:numId="31">
    <w:abstractNumId w:val="17"/>
  </w:num>
  <w:num w:numId="32">
    <w:abstractNumId w:val="14"/>
  </w:num>
  <w:num w:numId="33">
    <w:abstractNumId w:val="22"/>
  </w:num>
  <w:num w:numId="34">
    <w:abstractNumId w:val="25"/>
  </w:num>
  <w:num w:numId="35">
    <w:abstractNumId w:val="31"/>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1D69"/>
    <w:rsid w:val="0000315A"/>
    <w:rsid w:val="000056CD"/>
    <w:rsid w:val="00010D32"/>
    <w:rsid w:val="0001248E"/>
    <w:rsid w:val="00013EC0"/>
    <w:rsid w:val="00020058"/>
    <w:rsid w:val="00020AFA"/>
    <w:rsid w:val="00025B34"/>
    <w:rsid w:val="00025B82"/>
    <w:rsid w:val="000276C3"/>
    <w:rsid w:val="00030C14"/>
    <w:rsid w:val="0003386A"/>
    <w:rsid w:val="0003591B"/>
    <w:rsid w:val="00040214"/>
    <w:rsid w:val="00040DDE"/>
    <w:rsid w:val="00042583"/>
    <w:rsid w:val="00042E26"/>
    <w:rsid w:val="00043474"/>
    <w:rsid w:val="000442C6"/>
    <w:rsid w:val="00044847"/>
    <w:rsid w:val="000548E6"/>
    <w:rsid w:val="00055571"/>
    <w:rsid w:val="00056A33"/>
    <w:rsid w:val="00071FCC"/>
    <w:rsid w:val="000721F8"/>
    <w:rsid w:val="00072534"/>
    <w:rsid w:val="0007366D"/>
    <w:rsid w:val="00073803"/>
    <w:rsid w:val="00073B0C"/>
    <w:rsid w:val="00073BD0"/>
    <w:rsid w:val="00075778"/>
    <w:rsid w:val="00075861"/>
    <w:rsid w:val="00081940"/>
    <w:rsid w:val="00081969"/>
    <w:rsid w:val="00083283"/>
    <w:rsid w:val="00085C7A"/>
    <w:rsid w:val="00087FDA"/>
    <w:rsid w:val="00090F70"/>
    <w:rsid w:val="00096987"/>
    <w:rsid w:val="00096D24"/>
    <w:rsid w:val="000A1916"/>
    <w:rsid w:val="000A3A5E"/>
    <w:rsid w:val="000A3D4A"/>
    <w:rsid w:val="000A521C"/>
    <w:rsid w:val="000B0C9D"/>
    <w:rsid w:val="000B4793"/>
    <w:rsid w:val="000B4EA8"/>
    <w:rsid w:val="000C2175"/>
    <w:rsid w:val="000C5C28"/>
    <w:rsid w:val="000D3BE9"/>
    <w:rsid w:val="000D54B6"/>
    <w:rsid w:val="000D6317"/>
    <w:rsid w:val="000E0FC7"/>
    <w:rsid w:val="000E3D54"/>
    <w:rsid w:val="000E602E"/>
    <w:rsid w:val="000F1B69"/>
    <w:rsid w:val="000F29D2"/>
    <w:rsid w:val="000F4170"/>
    <w:rsid w:val="00100B7F"/>
    <w:rsid w:val="00101E23"/>
    <w:rsid w:val="00102030"/>
    <w:rsid w:val="001077CA"/>
    <w:rsid w:val="00110CDE"/>
    <w:rsid w:val="0011318D"/>
    <w:rsid w:val="0011418A"/>
    <w:rsid w:val="00114B54"/>
    <w:rsid w:val="001200C3"/>
    <w:rsid w:val="00123E49"/>
    <w:rsid w:val="00124F87"/>
    <w:rsid w:val="00126EAE"/>
    <w:rsid w:val="0013267B"/>
    <w:rsid w:val="00135680"/>
    <w:rsid w:val="001409B5"/>
    <w:rsid w:val="0014166E"/>
    <w:rsid w:val="0014795D"/>
    <w:rsid w:val="00147B2C"/>
    <w:rsid w:val="00155F66"/>
    <w:rsid w:val="00163F50"/>
    <w:rsid w:val="00164ED0"/>
    <w:rsid w:val="00166C94"/>
    <w:rsid w:val="00167171"/>
    <w:rsid w:val="00170C0E"/>
    <w:rsid w:val="0017118B"/>
    <w:rsid w:val="001715A4"/>
    <w:rsid w:val="001727E1"/>
    <w:rsid w:val="0017353E"/>
    <w:rsid w:val="0017542E"/>
    <w:rsid w:val="00177742"/>
    <w:rsid w:val="0018538F"/>
    <w:rsid w:val="00190285"/>
    <w:rsid w:val="0019092F"/>
    <w:rsid w:val="00192A16"/>
    <w:rsid w:val="00192E61"/>
    <w:rsid w:val="001940E9"/>
    <w:rsid w:val="001962E6"/>
    <w:rsid w:val="00196EC5"/>
    <w:rsid w:val="001975BE"/>
    <w:rsid w:val="001A460C"/>
    <w:rsid w:val="001A573F"/>
    <w:rsid w:val="001A762C"/>
    <w:rsid w:val="001B07A5"/>
    <w:rsid w:val="001B23BD"/>
    <w:rsid w:val="001B4B48"/>
    <w:rsid w:val="001B5BCB"/>
    <w:rsid w:val="001B63C3"/>
    <w:rsid w:val="001B7C2C"/>
    <w:rsid w:val="001C022F"/>
    <w:rsid w:val="001C1E4F"/>
    <w:rsid w:val="001C7509"/>
    <w:rsid w:val="001D0B20"/>
    <w:rsid w:val="001D0C55"/>
    <w:rsid w:val="001D28F2"/>
    <w:rsid w:val="001D3C32"/>
    <w:rsid w:val="001D69F7"/>
    <w:rsid w:val="001D7086"/>
    <w:rsid w:val="001D762D"/>
    <w:rsid w:val="001E6778"/>
    <w:rsid w:val="001F025D"/>
    <w:rsid w:val="001F0640"/>
    <w:rsid w:val="001F200D"/>
    <w:rsid w:val="001F2B63"/>
    <w:rsid w:val="001F419D"/>
    <w:rsid w:val="002007D8"/>
    <w:rsid w:val="0020181E"/>
    <w:rsid w:val="00201A68"/>
    <w:rsid w:val="00201EE0"/>
    <w:rsid w:val="002049B5"/>
    <w:rsid w:val="00205A3E"/>
    <w:rsid w:val="002069B1"/>
    <w:rsid w:val="00212DC9"/>
    <w:rsid w:val="00215398"/>
    <w:rsid w:val="00217350"/>
    <w:rsid w:val="00221041"/>
    <w:rsid w:val="00226207"/>
    <w:rsid w:val="00227C69"/>
    <w:rsid w:val="002318F3"/>
    <w:rsid w:val="00231F18"/>
    <w:rsid w:val="00235866"/>
    <w:rsid w:val="00240B8C"/>
    <w:rsid w:val="002420F9"/>
    <w:rsid w:val="00242171"/>
    <w:rsid w:val="00243802"/>
    <w:rsid w:val="002459C2"/>
    <w:rsid w:val="00247C9F"/>
    <w:rsid w:val="00250B7E"/>
    <w:rsid w:val="00253E16"/>
    <w:rsid w:val="00263DAE"/>
    <w:rsid w:val="00267FBD"/>
    <w:rsid w:val="0027426C"/>
    <w:rsid w:val="00274B7A"/>
    <w:rsid w:val="0028045E"/>
    <w:rsid w:val="00282998"/>
    <w:rsid w:val="00285F30"/>
    <w:rsid w:val="00286295"/>
    <w:rsid w:val="00287735"/>
    <w:rsid w:val="00291158"/>
    <w:rsid w:val="002937DD"/>
    <w:rsid w:val="00293B0F"/>
    <w:rsid w:val="00294C99"/>
    <w:rsid w:val="00295E47"/>
    <w:rsid w:val="002A7A49"/>
    <w:rsid w:val="002B0FB7"/>
    <w:rsid w:val="002B2AA5"/>
    <w:rsid w:val="002B2CEB"/>
    <w:rsid w:val="002B38C7"/>
    <w:rsid w:val="002B63BA"/>
    <w:rsid w:val="002C33FD"/>
    <w:rsid w:val="002C3EBE"/>
    <w:rsid w:val="002C6193"/>
    <w:rsid w:val="002D0198"/>
    <w:rsid w:val="002D07A3"/>
    <w:rsid w:val="002D0949"/>
    <w:rsid w:val="002D0BC0"/>
    <w:rsid w:val="002D1D0F"/>
    <w:rsid w:val="002D26C1"/>
    <w:rsid w:val="002D6301"/>
    <w:rsid w:val="002D78B3"/>
    <w:rsid w:val="002E0AFE"/>
    <w:rsid w:val="002E1F27"/>
    <w:rsid w:val="002E2BEB"/>
    <w:rsid w:val="002E65CB"/>
    <w:rsid w:val="002F24C0"/>
    <w:rsid w:val="002F3ACA"/>
    <w:rsid w:val="002F433F"/>
    <w:rsid w:val="002F6316"/>
    <w:rsid w:val="00300ADC"/>
    <w:rsid w:val="00303028"/>
    <w:rsid w:val="00303420"/>
    <w:rsid w:val="0030648E"/>
    <w:rsid w:val="00307E68"/>
    <w:rsid w:val="00311810"/>
    <w:rsid w:val="0031695B"/>
    <w:rsid w:val="00320DD7"/>
    <w:rsid w:val="0032335A"/>
    <w:rsid w:val="00326C4C"/>
    <w:rsid w:val="003309A5"/>
    <w:rsid w:val="0033166C"/>
    <w:rsid w:val="00332B60"/>
    <w:rsid w:val="00335D1D"/>
    <w:rsid w:val="00337DBB"/>
    <w:rsid w:val="003403EE"/>
    <w:rsid w:val="00340456"/>
    <w:rsid w:val="00341D2E"/>
    <w:rsid w:val="00341FA0"/>
    <w:rsid w:val="00344D4A"/>
    <w:rsid w:val="00346B67"/>
    <w:rsid w:val="00350046"/>
    <w:rsid w:val="003511CF"/>
    <w:rsid w:val="00351A20"/>
    <w:rsid w:val="0035574B"/>
    <w:rsid w:val="00361021"/>
    <w:rsid w:val="00363670"/>
    <w:rsid w:val="0036427D"/>
    <w:rsid w:val="00370680"/>
    <w:rsid w:val="00373C0E"/>
    <w:rsid w:val="00373EAC"/>
    <w:rsid w:val="0037612A"/>
    <w:rsid w:val="00377670"/>
    <w:rsid w:val="00383C03"/>
    <w:rsid w:val="00383DAD"/>
    <w:rsid w:val="003841AC"/>
    <w:rsid w:val="00392F03"/>
    <w:rsid w:val="00394303"/>
    <w:rsid w:val="0039454C"/>
    <w:rsid w:val="00396D1A"/>
    <w:rsid w:val="00396FBF"/>
    <w:rsid w:val="003973B0"/>
    <w:rsid w:val="00397EB5"/>
    <w:rsid w:val="003A66E4"/>
    <w:rsid w:val="003A71FF"/>
    <w:rsid w:val="003B2828"/>
    <w:rsid w:val="003B4D5B"/>
    <w:rsid w:val="003B6854"/>
    <w:rsid w:val="003B7805"/>
    <w:rsid w:val="003C12E1"/>
    <w:rsid w:val="003C1678"/>
    <w:rsid w:val="003C495A"/>
    <w:rsid w:val="003C513C"/>
    <w:rsid w:val="003C5A72"/>
    <w:rsid w:val="003C7032"/>
    <w:rsid w:val="003C7360"/>
    <w:rsid w:val="003E23EB"/>
    <w:rsid w:val="003E6BA7"/>
    <w:rsid w:val="003F0559"/>
    <w:rsid w:val="003F098D"/>
    <w:rsid w:val="003F3EFA"/>
    <w:rsid w:val="003F46F3"/>
    <w:rsid w:val="003F6F69"/>
    <w:rsid w:val="0040040F"/>
    <w:rsid w:val="00401B83"/>
    <w:rsid w:val="004107C8"/>
    <w:rsid w:val="00411289"/>
    <w:rsid w:val="004113F8"/>
    <w:rsid w:val="004132A1"/>
    <w:rsid w:val="00414708"/>
    <w:rsid w:val="00414FD1"/>
    <w:rsid w:val="004150E9"/>
    <w:rsid w:val="00415CB4"/>
    <w:rsid w:val="00417A8D"/>
    <w:rsid w:val="00420C7B"/>
    <w:rsid w:val="00421E51"/>
    <w:rsid w:val="00431D67"/>
    <w:rsid w:val="00432536"/>
    <w:rsid w:val="004328F9"/>
    <w:rsid w:val="00432EB8"/>
    <w:rsid w:val="0043338D"/>
    <w:rsid w:val="00434E37"/>
    <w:rsid w:val="004369F9"/>
    <w:rsid w:val="00440C13"/>
    <w:rsid w:val="00443F0A"/>
    <w:rsid w:val="00450D4E"/>
    <w:rsid w:val="004518A9"/>
    <w:rsid w:val="0045502C"/>
    <w:rsid w:val="004605AD"/>
    <w:rsid w:val="004625B7"/>
    <w:rsid w:val="0046308F"/>
    <w:rsid w:val="00465A5E"/>
    <w:rsid w:val="00467A0E"/>
    <w:rsid w:val="00472105"/>
    <w:rsid w:val="00472F55"/>
    <w:rsid w:val="0047408E"/>
    <w:rsid w:val="00474E44"/>
    <w:rsid w:val="0047555E"/>
    <w:rsid w:val="004824AC"/>
    <w:rsid w:val="004854D7"/>
    <w:rsid w:val="004901E3"/>
    <w:rsid w:val="0049088A"/>
    <w:rsid w:val="0049305F"/>
    <w:rsid w:val="00493F29"/>
    <w:rsid w:val="004A1C90"/>
    <w:rsid w:val="004B25E5"/>
    <w:rsid w:val="004B2BA2"/>
    <w:rsid w:val="004B2F85"/>
    <w:rsid w:val="004B3DC2"/>
    <w:rsid w:val="004B651C"/>
    <w:rsid w:val="004B6CFE"/>
    <w:rsid w:val="004B6EFE"/>
    <w:rsid w:val="004C186D"/>
    <w:rsid w:val="004C2216"/>
    <w:rsid w:val="004D086F"/>
    <w:rsid w:val="004D21E2"/>
    <w:rsid w:val="004D3617"/>
    <w:rsid w:val="004D475C"/>
    <w:rsid w:val="004D64DB"/>
    <w:rsid w:val="004E04A7"/>
    <w:rsid w:val="004E0B91"/>
    <w:rsid w:val="004E262D"/>
    <w:rsid w:val="004E3EB9"/>
    <w:rsid w:val="004E4783"/>
    <w:rsid w:val="004E4D2A"/>
    <w:rsid w:val="004E630A"/>
    <w:rsid w:val="004F3ED0"/>
    <w:rsid w:val="004F4281"/>
    <w:rsid w:val="004F7C19"/>
    <w:rsid w:val="00500584"/>
    <w:rsid w:val="005026F7"/>
    <w:rsid w:val="0050283E"/>
    <w:rsid w:val="005067C1"/>
    <w:rsid w:val="005072A2"/>
    <w:rsid w:val="005117C0"/>
    <w:rsid w:val="00514C7A"/>
    <w:rsid w:val="0051502E"/>
    <w:rsid w:val="005257C8"/>
    <w:rsid w:val="00527A3C"/>
    <w:rsid w:val="00527C56"/>
    <w:rsid w:val="00531A14"/>
    <w:rsid w:val="00540A90"/>
    <w:rsid w:val="0054227A"/>
    <w:rsid w:val="005431A1"/>
    <w:rsid w:val="0054381D"/>
    <w:rsid w:val="0054798E"/>
    <w:rsid w:val="005519B7"/>
    <w:rsid w:val="00552AD6"/>
    <w:rsid w:val="00561520"/>
    <w:rsid w:val="00562004"/>
    <w:rsid w:val="00564848"/>
    <w:rsid w:val="005678B2"/>
    <w:rsid w:val="005722B4"/>
    <w:rsid w:val="00576C80"/>
    <w:rsid w:val="00582D0E"/>
    <w:rsid w:val="005861F6"/>
    <w:rsid w:val="00586576"/>
    <w:rsid w:val="005865AA"/>
    <w:rsid w:val="0059403A"/>
    <w:rsid w:val="005969D0"/>
    <w:rsid w:val="005A1C91"/>
    <w:rsid w:val="005A2ABF"/>
    <w:rsid w:val="005A2E5B"/>
    <w:rsid w:val="005A759D"/>
    <w:rsid w:val="005A77C7"/>
    <w:rsid w:val="005B008A"/>
    <w:rsid w:val="005B6178"/>
    <w:rsid w:val="005B7A43"/>
    <w:rsid w:val="005C149D"/>
    <w:rsid w:val="005C1A3E"/>
    <w:rsid w:val="005C3630"/>
    <w:rsid w:val="005C7F6C"/>
    <w:rsid w:val="005D200C"/>
    <w:rsid w:val="005D2348"/>
    <w:rsid w:val="005D44FE"/>
    <w:rsid w:val="005D591C"/>
    <w:rsid w:val="005D6937"/>
    <w:rsid w:val="005E1E05"/>
    <w:rsid w:val="005F273F"/>
    <w:rsid w:val="005F5CE7"/>
    <w:rsid w:val="00607FD5"/>
    <w:rsid w:val="00610B27"/>
    <w:rsid w:val="006158E9"/>
    <w:rsid w:val="00617F42"/>
    <w:rsid w:val="0062126C"/>
    <w:rsid w:val="00625D29"/>
    <w:rsid w:val="00631E75"/>
    <w:rsid w:val="006327FB"/>
    <w:rsid w:val="0063352E"/>
    <w:rsid w:val="00634E0F"/>
    <w:rsid w:val="0063609F"/>
    <w:rsid w:val="006376A7"/>
    <w:rsid w:val="0064001A"/>
    <w:rsid w:val="006400FB"/>
    <w:rsid w:val="006415CA"/>
    <w:rsid w:val="006421F1"/>
    <w:rsid w:val="006464BE"/>
    <w:rsid w:val="00646552"/>
    <w:rsid w:val="006552CF"/>
    <w:rsid w:val="006611B8"/>
    <w:rsid w:val="006627C3"/>
    <w:rsid w:val="00663D7B"/>
    <w:rsid w:val="0066440A"/>
    <w:rsid w:val="00664CF7"/>
    <w:rsid w:val="006732D1"/>
    <w:rsid w:val="00674DD1"/>
    <w:rsid w:val="00676475"/>
    <w:rsid w:val="00677BCF"/>
    <w:rsid w:val="0068501E"/>
    <w:rsid w:val="006876AE"/>
    <w:rsid w:val="00687CEB"/>
    <w:rsid w:val="00690449"/>
    <w:rsid w:val="00690940"/>
    <w:rsid w:val="00691ADC"/>
    <w:rsid w:val="0069420C"/>
    <w:rsid w:val="006A0838"/>
    <w:rsid w:val="006A2060"/>
    <w:rsid w:val="006A2E2D"/>
    <w:rsid w:val="006A4A26"/>
    <w:rsid w:val="006B056D"/>
    <w:rsid w:val="006B165C"/>
    <w:rsid w:val="006B7B73"/>
    <w:rsid w:val="006B7C35"/>
    <w:rsid w:val="006C4B70"/>
    <w:rsid w:val="006C4CC9"/>
    <w:rsid w:val="006D0C76"/>
    <w:rsid w:val="006D172D"/>
    <w:rsid w:val="006D4147"/>
    <w:rsid w:val="006D426E"/>
    <w:rsid w:val="006D5700"/>
    <w:rsid w:val="006D6345"/>
    <w:rsid w:val="006E2036"/>
    <w:rsid w:val="006E466B"/>
    <w:rsid w:val="006F2D9F"/>
    <w:rsid w:val="006F7373"/>
    <w:rsid w:val="00700858"/>
    <w:rsid w:val="00700F9C"/>
    <w:rsid w:val="00701C5B"/>
    <w:rsid w:val="00703589"/>
    <w:rsid w:val="00704142"/>
    <w:rsid w:val="00704860"/>
    <w:rsid w:val="007078AF"/>
    <w:rsid w:val="00711DC8"/>
    <w:rsid w:val="00713F89"/>
    <w:rsid w:val="00714386"/>
    <w:rsid w:val="00715B70"/>
    <w:rsid w:val="00720F62"/>
    <w:rsid w:val="00723122"/>
    <w:rsid w:val="00724F8D"/>
    <w:rsid w:val="007250D6"/>
    <w:rsid w:val="00733015"/>
    <w:rsid w:val="007378E3"/>
    <w:rsid w:val="00742B87"/>
    <w:rsid w:val="00743060"/>
    <w:rsid w:val="007431F6"/>
    <w:rsid w:val="00750AA0"/>
    <w:rsid w:val="007521CE"/>
    <w:rsid w:val="00753587"/>
    <w:rsid w:val="00754881"/>
    <w:rsid w:val="00756132"/>
    <w:rsid w:val="00757B5B"/>
    <w:rsid w:val="007607E8"/>
    <w:rsid w:val="007612D6"/>
    <w:rsid w:val="007638F8"/>
    <w:rsid w:val="00765D65"/>
    <w:rsid w:val="007672C6"/>
    <w:rsid w:val="00767B55"/>
    <w:rsid w:val="0077005B"/>
    <w:rsid w:val="0077092C"/>
    <w:rsid w:val="00771F63"/>
    <w:rsid w:val="007739A0"/>
    <w:rsid w:val="007806EC"/>
    <w:rsid w:val="00780F1D"/>
    <w:rsid w:val="007822F5"/>
    <w:rsid w:val="00783B45"/>
    <w:rsid w:val="00783EB9"/>
    <w:rsid w:val="00785999"/>
    <w:rsid w:val="00785C73"/>
    <w:rsid w:val="00791D4F"/>
    <w:rsid w:val="0079295F"/>
    <w:rsid w:val="007958FE"/>
    <w:rsid w:val="00795B44"/>
    <w:rsid w:val="007A0AFC"/>
    <w:rsid w:val="007A2183"/>
    <w:rsid w:val="007A498A"/>
    <w:rsid w:val="007B4064"/>
    <w:rsid w:val="007B4125"/>
    <w:rsid w:val="007B4A10"/>
    <w:rsid w:val="007B59AD"/>
    <w:rsid w:val="007B737B"/>
    <w:rsid w:val="007B7802"/>
    <w:rsid w:val="007B7A67"/>
    <w:rsid w:val="007B7B5C"/>
    <w:rsid w:val="007B7EF0"/>
    <w:rsid w:val="007C1B59"/>
    <w:rsid w:val="007C397A"/>
    <w:rsid w:val="007C3C07"/>
    <w:rsid w:val="007D426C"/>
    <w:rsid w:val="007D723A"/>
    <w:rsid w:val="007E0A5D"/>
    <w:rsid w:val="007E1429"/>
    <w:rsid w:val="007E14F8"/>
    <w:rsid w:val="007E1C48"/>
    <w:rsid w:val="007E5A8C"/>
    <w:rsid w:val="007E6EE0"/>
    <w:rsid w:val="007F09B9"/>
    <w:rsid w:val="007F2492"/>
    <w:rsid w:val="007F4089"/>
    <w:rsid w:val="00800985"/>
    <w:rsid w:val="0080162E"/>
    <w:rsid w:val="00801CAA"/>
    <w:rsid w:val="0080385E"/>
    <w:rsid w:val="008041A7"/>
    <w:rsid w:val="00804933"/>
    <w:rsid w:val="008071DF"/>
    <w:rsid w:val="008107E6"/>
    <w:rsid w:val="008127A5"/>
    <w:rsid w:val="00814577"/>
    <w:rsid w:val="00814C55"/>
    <w:rsid w:val="00815A39"/>
    <w:rsid w:val="00816062"/>
    <w:rsid w:val="008161FE"/>
    <w:rsid w:val="00817344"/>
    <w:rsid w:val="00822950"/>
    <w:rsid w:val="00824B86"/>
    <w:rsid w:val="008356AE"/>
    <w:rsid w:val="00840C1F"/>
    <w:rsid w:val="00845E69"/>
    <w:rsid w:val="00846AAB"/>
    <w:rsid w:val="00851A3E"/>
    <w:rsid w:val="0085328A"/>
    <w:rsid w:val="00853746"/>
    <w:rsid w:val="00855D95"/>
    <w:rsid w:val="00855F00"/>
    <w:rsid w:val="00856E60"/>
    <w:rsid w:val="00861DA7"/>
    <w:rsid w:val="008631C0"/>
    <w:rsid w:val="00864BCD"/>
    <w:rsid w:val="00865490"/>
    <w:rsid w:val="00865D4A"/>
    <w:rsid w:val="008731F6"/>
    <w:rsid w:val="0087334B"/>
    <w:rsid w:val="0087726C"/>
    <w:rsid w:val="0087752B"/>
    <w:rsid w:val="00877C9F"/>
    <w:rsid w:val="008809BE"/>
    <w:rsid w:val="00882E67"/>
    <w:rsid w:val="00882F5A"/>
    <w:rsid w:val="0088378C"/>
    <w:rsid w:val="00884BEB"/>
    <w:rsid w:val="008853AD"/>
    <w:rsid w:val="0088674B"/>
    <w:rsid w:val="008924F7"/>
    <w:rsid w:val="008A0B55"/>
    <w:rsid w:val="008A1D06"/>
    <w:rsid w:val="008A1FFD"/>
    <w:rsid w:val="008A39F0"/>
    <w:rsid w:val="008A7B39"/>
    <w:rsid w:val="008B1781"/>
    <w:rsid w:val="008B64FC"/>
    <w:rsid w:val="008B7B72"/>
    <w:rsid w:val="008C0489"/>
    <w:rsid w:val="008C0B6C"/>
    <w:rsid w:val="008C6ADE"/>
    <w:rsid w:val="008D0E17"/>
    <w:rsid w:val="008E1F16"/>
    <w:rsid w:val="008E2F1F"/>
    <w:rsid w:val="008E3858"/>
    <w:rsid w:val="008E53CD"/>
    <w:rsid w:val="008E7649"/>
    <w:rsid w:val="008F0454"/>
    <w:rsid w:val="008F16CE"/>
    <w:rsid w:val="008F226B"/>
    <w:rsid w:val="008F251D"/>
    <w:rsid w:val="008F58B7"/>
    <w:rsid w:val="008F5CC7"/>
    <w:rsid w:val="0090504E"/>
    <w:rsid w:val="00905765"/>
    <w:rsid w:val="009063D8"/>
    <w:rsid w:val="00906CFA"/>
    <w:rsid w:val="00910B9D"/>
    <w:rsid w:val="00911999"/>
    <w:rsid w:val="00915148"/>
    <w:rsid w:val="0092015D"/>
    <w:rsid w:val="00920565"/>
    <w:rsid w:val="00921BE9"/>
    <w:rsid w:val="00923245"/>
    <w:rsid w:val="00926884"/>
    <w:rsid w:val="009271A8"/>
    <w:rsid w:val="009378EE"/>
    <w:rsid w:val="009403FC"/>
    <w:rsid w:val="009427F6"/>
    <w:rsid w:val="00945662"/>
    <w:rsid w:val="0094700E"/>
    <w:rsid w:val="009510F5"/>
    <w:rsid w:val="00956BA5"/>
    <w:rsid w:val="009631B3"/>
    <w:rsid w:val="009649A0"/>
    <w:rsid w:val="009666AE"/>
    <w:rsid w:val="00966DC1"/>
    <w:rsid w:val="00970848"/>
    <w:rsid w:val="00972DFF"/>
    <w:rsid w:val="009735BE"/>
    <w:rsid w:val="009779B2"/>
    <w:rsid w:val="00984077"/>
    <w:rsid w:val="0098478E"/>
    <w:rsid w:val="009868A6"/>
    <w:rsid w:val="0099013F"/>
    <w:rsid w:val="00993ADA"/>
    <w:rsid w:val="00994315"/>
    <w:rsid w:val="00996397"/>
    <w:rsid w:val="009A1416"/>
    <w:rsid w:val="009A34C4"/>
    <w:rsid w:val="009A3C1C"/>
    <w:rsid w:val="009A4BB9"/>
    <w:rsid w:val="009A59D7"/>
    <w:rsid w:val="009A66EC"/>
    <w:rsid w:val="009A6A2B"/>
    <w:rsid w:val="009C0C5A"/>
    <w:rsid w:val="009C13AC"/>
    <w:rsid w:val="009C3149"/>
    <w:rsid w:val="009C38DB"/>
    <w:rsid w:val="009C4143"/>
    <w:rsid w:val="009C6839"/>
    <w:rsid w:val="009C6C67"/>
    <w:rsid w:val="009C7881"/>
    <w:rsid w:val="009C7B27"/>
    <w:rsid w:val="009D1537"/>
    <w:rsid w:val="009D42C7"/>
    <w:rsid w:val="009D591D"/>
    <w:rsid w:val="009D5D48"/>
    <w:rsid w:val="009E1683"/>
    <w:rsid w:val="009E3402"/>
    <w:rsid w:val="009F27CE"/>
    <w:rsid w:val="009F3A1E"/>
    <w:rsid w:val="009F7FFE"/>
    <w:rsid w:val="00A0101C"/>
    <w:rsid w:val="00A1590A"/>
    <w:rsid w:val="00A17BED"/>
    <w:rsid w:val="00A20ECC"/>
    <w:rsid w:val="00A2283B"/>
    <w:rsid w:val="00A24B3F"/>
    <w:rsid w:val="00A26B00"/>
    <w:rsid w:val="00A276B6"/>
    <w:rsid w:val="00A27E40"/>
    <w:rsid w:val="00A30A81"/>
    <w:rsid w:val="00A34397"/>
    <w:rsid w:val="00A365A0"/>
    <w:rsid w:val="00A3672E"/>
    <w:rsid w:val="00A40A87"/>
    <w:rsid w:val="00A44E37"/>
    <w:rsid w:val="00A5104D"/>
    <w:rsid w:val="00A5109A"/>
    <w:rsid w:val="00A55C3A"/>
    <w:rsid w:val="00A578BA"/>
    <w:rsid w:val="00A60252"/>
    <w:rsid w:val="00A67907"/>
    <w:rsid w:val="00A67926"/>
    <w:rsid w:val="00A70661"/>
    <w:rsid w:val="00A7203B"/>
    <w:rsid w:val="00A7685B"/>
    <w:rsid w:val="00A769C4"/>
    <w:rsid w:val="00A8056A"/>
    <w:rsid w:val="00A8069B"/>
    <w:rsid w:val="00A8156E"/>
    <w:rsid w:val="00A839EA"/>
    <w:rsid w:val="00A85250"/>
    <w:rsid w:val="00A85D7D"/>
    <w:rsid w:val="00A8629F"/>
    <w:rsid w:val="00A865D3"/>
    <w:rsid w:val="00A8797C"/>
    <w:rsid w:val="00A91901"/>
    <w:rsid w:val="00A929FF"/>
    <w:rsid w:val="00A96C5B"/>
    <w:rsid w:val="00AA4223"/>
    <w:rsid w:val="00AA5BF2"/>
    <w:rsid w:val="00AA6BDF"/>
    <w:rsid w:val="00AB0A10"/>
    <w:rsid w:val="00AB1DFB"/>
    <w:rsid w:val="00AB2D57"/>
    <w:rsid w:val="00AB3413"/>
    <w:rsid w:val="00AB54FE"/>
    <w:rsid w:val="00AB66A6"/>
    <w:rsid w:val="00AC4BA5"/>
    <w:rsid w:val="00AC6CD9"/>
    <w:rsid w:val="00AD083C"/>
    <w:rsid w:val="00AD0A14"/>
    <w:rsid w:val="00AD12DA"/>
    <w:rsid w:val="00AD187F"/>
    <w:rsid w:val="00AD436B"/>
    <w:rsid w:val="00AD6775"/>
    <w:rsid w:val="00AE57D5"/>
    <w:rsid w:val="00AE5B3A"/>
    <w:rsid w:val="00AE68B4"/>
    <w:rsid w:val="00AF1407"/>
    <w:rsid w:val="00AF4393"/>
    <w:rsid w:val="00AF44A4"/>
    <w:rsid w:val="00AF6BC1"/>
    <w:rsid w:val="00B019D1"/>
    <w:rsid w:val="00B03094"/>
    <w:rsid w:val="00B06339"/>
    <w:rsid w:val="00B115C0"/>
    <w:rsid w:val="00B165B7"/>
    <w:rsid w:val="00B16FED"/>
    <w:rsid w:val="00B21BB7"/>
    <w:rsid w:val="00B2392C"/>
    <w:rsid w:val="00B25B91"/>
    <w:rsid w:val="00B32E21"/>
    <w:rsid w:val="00B33AF8"/>
    <w:rsid w:val="00B3474F"/>
    <w:rsid w:val="00B36A08"/>
    <w:rsid w:val="00B378A7"/>
    <w:rsid w:val="00B402E5"/>
    <w:rsid w:val="00B44391"/>
    <w:rsid w:val="00B472B9"/>
    <w:rsid w:val="00B47679"/>
    <w:rsid w:val="00B47CC1"/>
    <w:rsid w:val="00B5367B"/>
    <w:rsid w:val="00B53792"/>
    <w:rsid w:val="00B55AED"/>
    <w:rsid w:val="00B60E3B"/>
    <w:rsid w:val="00B63477"/>
    <w:rsid w:val="00B63AA2"/>
    <w:rsid w:val="00B72FB8"/>
    <w:rsid w:val="00B75461"/>
    <w:rsid w:val="00B764E2"/>
    <w:rsid w:val="00B7745B"/>
    <w:rsid w:val="00B7791F"/>
    <w:rsid w:val="00B80954"/>
    <w:rsid w:val="00B86365"/>
    <w:rsid w:val="00B872FE"/>
    <w:rsid w:val="00B87550"/>
    <w:rsid w:val="00B93572"/>
    <w:rsid w:val="00B95114"/>
    <w:rsid w:val="00B95298"/>
    <w:rsid w:val="00B9773A"/>
    <w:rsid w:val="00BA0C22"/>
    <w:rsid w:val="00BA136E"/>
    <w:rsid w:val="00BA5323"/>
    <w:rsid w:val="00BA6406"/>
    <w:rsid w:val="00BB04FA"/>
    <w:rsid w:val="00BB289F"/>
    <w:rsid w:val="00BB3BB7"/>
    <w:rsid w:val="00BB4B26"/>
    <w:rsid w:val="00BC247D"/>
    <w:rsid w:val="00BC3820"/>
    <w:rsid w:val="00BC3B0C"/>
    <w:rsid w:val="00BC62B8"/>
    <w:rsid w:val="00BC6657"/>
    <w:rsid w:val="00BD0735"/>
    <w:rsid w:val="00BD47DB"/>
    <w:rsid w:val="00BD5A2C"/>
    <w:rsid w:val="00BD754F"/>
    <w:rsid w:val="00BD7F42"/>
    <w:rsid w:val="00BE175A"/>
    <w:rsid w:val="00BE5AFD"/>
    <w:rsid w:val="00BE5C79"/>
    <w:rsid w:val="00BE5DBC"/>
    <w:rsid w:val="00BE78A0"/>
    <w:rsid w:val="00BE7E4F"/>
    <w:rsid w:val="00BF12FA"/>
    <w:rsid w:val="00BF1317"/>
    <w:rsid w:val="00BF5C68"/>
    <w:rsid w:val="00BF7D76"/>
    <w:rsid w:val="00C02287"/>
    <w:rsid w:val="00C05565"/>
    <w:rsid w:val="00C10A6D"/>
    <w:rsid w:val="00C1340E"/>
    <w:rsid w:val="00C14120"/>
    <w:rsid w:val="00C21525"/>
    <w:rsid w:val="00C233BA"/>
    <w:rsid w:val="00C31430"/>
    <w:rsid w:val="00C32DAB"/>
    <w:rsid w:val="00C335DC"/>
    <w:rsid w:val="00C34FD7"/>
    <w:rsid w:val="00C350A3"/>
    <w:rsid w:val="00C36865"/>
    <w:rsid w:val="00C368B2"/>
    <w:rsid w:val="00C370DF"/>
    <w:rsid w:val="00C37FD1"/>
    <w:rsid w:val="00C40E0C"/>
    <w:rsid w:val="00C4341D"/>
    <w:rsid w:val="00C503AF"/>
    <w:rsid w:val="00C52716"/>
    <w:rsid w:val="00C5399A"/>
    <w:rsid w:val="00C55199"/>
    <w:rsid w:val="00C55FBA"/>
    <w:rsid w:val="00C56849"/>
    <w:rsid w:val="00C60977"/>
    <w:rsid w:val="00C614F5"/>
    <w:rsid w:val="00C6264B"/>
    <w:rsid w:val="00C62AAD"/>
    <w:rsid w:val="00C62DC0"/>
    <w:rsid w:val="00C63843"/>
    <w:rsid w:val="00C67AF4"/>
    <w:rsid w:val="00C7005F"/>
    <w:rsid w:val="00C70923"/>
    <w:rsid w:val="00C70A8F"/>
    <w:rsid w:val="00C71B3A"/>
    <w:rsid w:val="00C72829"/>
    <w:rsid w:val="00C778DD"/>
    <w:rsid w:val="00C85527"/>
    <w:rsid w:val="00C86264"/>
    <w:rsid w:val="00C87EE3"/>
    <w:rsid w:val="00C922FD"/>
    <w:rsid w:val="00C942AB"/>
    <w:rsid w:val="00C94403"/>
    <w:rsid w:val="00C95EF2"/>
    <w:rsid w:val="00C9651C"/>
    <w:rsid w:val="00CA1161"/>
    <w:rsid w:val="00CA1419"/>
    <w:rsid w:val="00CA23A9"/>
    <w:rsid w:val="00CA4605"/>
    <w:rsid w:val="00CA65DD"/>
    <w:rsid w:val="00CA7F1D"/>
    <w:rsid w:val="00CB0624"/>
    <w:rsid w:val="00CB0BFC"/>
    <w:rsid w:val="00CB4339"/>
    <w:rsid w:val="00CB6D61"/>
    <w:rsid w:val="00CB7FF2"/>
    <w:rsid w:val="00CC30BF"/>
    <w:rsid w:val="00CC5591"/>
    <w:rsid w:val="00CD4D68"/>
    <w:rsid w:val="00CD671C"/>
    <w:rsid w:val="00CE035B"/>
    <w:rsid w:val="00CE257E"/>
    <w:rsid w:val="00CF1543"/>
    <w:rsid w:val="00CF5334"/>
    <w:rsid w:val="00CF6344"/>
    <w:rsid w:val="00CF72CE"/>
    <w:rsid w:val="00D04D12"/>
    <w:rsid w:val="00D10715"/>
    <w:rsid w:val="00D11746"/>
    <w:rsid w:val="00D13F9C"/>
    <w:rsid w:val="00D14684"/>
    <w:rsid w:val="00D14A97"/>
    <w:rsid w:val="00D16D78"/>
    <w:rsid w:val="00D175A2"/>
    <w:rsid w:val="00D21E18"/>
    <w:rsid w:val="00D22B97"/>
    <w:rsid w:val="00D2529F"/>
    <w:rsid w:val="00D25729"/>
    <w:rsid w:val="00D311D8"/>
    <w:rsid w:val="00D3239A"/>
    <w:rsid w:val="00D36F9C"/>
    <w:rsid w:val="00D41F21"/>
    <w:rsid w:val="00D43177"/>
    <w:rsid w:val="00D43AD4"/>
    <w:rsid w:val="00D4560D"/>
    <w:rsid w:val="00D50E5D"/>
    <w:rsid w:val="00D535AA"/>
    <w:rsid w:val="00D55E73"/>
    <w:rsid w:val="00D61014"/>
    <w:rsid w:val="00D61208"/>
    <w:rsid w:val="00D63922"/>
    <w:rsid w:val="00D67FBD"/>
    <w:rsid w:val="00D717D8"/>
    <w:rsid w:val="00D72A99"/>
    <w:rsid w:val="00D74CBB"/>
    <w:rsid w:val="00D75ADA"/>
    <w:rsid w:val="00D76DB5"/>
    <w:rsid w:val="00D80E3B"/>
    <w:rsid w:val="00D81391"/>
    <w:rsid w:val="00D83C6D"/>
    <w:rsid w:val="00D851B0"/>
    <w:rsid w:val="00D86796"/>
    <w:rsid w:val="00D879EB"/>
    <w:rsid w:val="00D90170"/>
    <w:rsid w:val="00D92925"/>
    <w:rsid w:val="00D92C95"/>
    <w:rsid w:val="00DA1004"/>
    <w:rsid w:val="00DA3BA9"/>
    <w:rsid w:val="00DA3EC1"/>
    <w:rsid w:val="00DB3DA7"/>
    <w:rsid w:val="00DB5650"/>
    <w:rsid w:val="00DB65BA"/>
    <w:rsid w:val="00DB6C02"/>
    <w:rsid w:val="00DB6D12"/>
    <w:rsid w:val="00DC075C"/>
    <w:rsid w:val="00DC1B9C"/>
    <w:rsid w:val="00DC2DDD"/>
    <w:rsid w:val="00DC3942"/>
    <w:rsid w:val="00DC5730"/>
    <w:rsid w:val="00DC717C"/>
    <w:rsid w:val="00DC7EF5"/>
    <w:rsid w:val="00DD40F0"/>
    <w:rsid w:val="00DD7793"/>
    <w:rsid w:val="00DE1181"/>
    <w:rsid w:val="00DE1336"/>
    <w:rsid w:val="00DE55E5"/>
    <w:rsid w:val="00DE57A2"/>
    <w:rsid w:val="00DF0232"/>
    <w:rsid w:val="00DF1FD3"/>
    <w:rsid w:val="00DF27EC"/>
    <w:rsid w:val="00DF4414"/>
    <w:rsid w:val="00E001B8"/>
    <w:rsid w:val="00E01622"/>
    <w:rsid w:val="00E020DF"/>
    <w:rsid w:val="00E02C05"/>
    <w:rsid w:val="00E05EC9"/>
    <w:rsid w:val="00E102EB"/>
    <w:rsid w:val="00E13527"/>
    <w:rsid w:val="00E138A2"/>
    <w:rsid w:val="00E13D74"/>
    <w:rsid w:val="00E1510C"/>
    <w:rsid w:val="00E15F79"/>
    <w:rsid w:val="00E178A9"/>
    <w:rsid w:val="00E17E8A"/>
    <w:rsid w:val="00E20875"/>
    <w:rsid w:val="00E218CB"/>
    <w:rsid w:val="00E25978"/>
    <w:rsid w:val="00E259B5"/>
    <w:rsid w:val="00E4101D"/>
    <w:rsid w:val="00E41C9A"/>
    <w:rsid w:val="00E44F98"/>
    <w:rsid w:val="00E455B6"/>
    <w:rsid w:val="00E469DB"/>
    <w:rsid w:val="00E46E52"/>
    <w:rsid w:val="00E47A1A"/>
    <w:rsid w:val="00E52EC8"/>
    <w:rsid w:val="00E539C4"/>
    <w:rsid w:val="00E6034D"/>
    <w:rsid w:val="00E657B6"/>
    <w:rsid w:val="00E72A21"/>
    <w:rsid w:val="00E72E5F"/>
    <w:rsid w:val="00E75837"/>
    <w:rsid w:val="00E835F3"/>
    <w:rsid w:val="00E86D74"/>
    <w:rsid w:val="00E9103E"/>
    <w:rsid w:val="00E922C6"/>
    <w:rsid w:val="00E93034"/>
    <w:rsid w:val="00E9472D"/>
    <w:rsid w:val="00E96618"/>
    <w:rsid w:val="00E966F1"/>
    <w:rsid w:val="00E96E60"/>
    <w:rsid w:val="00EA5C61"/>
    <w:rsid w:val="00EA7109"/>
    <w:rsid w:val="00EB3E8F"/>
    <w:rsid w:val="00EB6537"/>
    <w:rsid w:val="00EC3965"/>
    <w:rsid w:val="00EC7323"/>
    <w:rsid w:val="00ED6158"/>
    <w:rsid w:val="00EE319F"/>
    <w:rsid w:val="00EE58BD"/>
    <w:rsid w:val="00EE6788"/>
    <w:rsid w:val="00EF0709"/>
    <w:rsid w:val="00EF1109"/>
    <w:rsid w:val="00EF117A"/>
    <w:rsid w:val="00EF332D"/>
    <w:rsid w:val="00EF3E4E"/>
    <w:rsid w:val="00EF5808"/>
    <w:rsid w:val="00EF64C5"/>
    <w:rsid w:val="00EF7A42"/>
    <w:rsid w:val="00F009C8"/>
    <w:rsid w:val="00F00A05"/>
    <w:rsid w:val="00F01ED6"/>
    <w:rsid w:val="00F03D62"/>
    <w:rsid w:val="00F047C5"/>
    <w:rsid w:val="00F1022B"/>
    <w:rsid w:val="00F104AC"/>
    <w:rsid w:val="00F114E8"/>
    <w:rsid w:val="00F122C4"/>
    <w:rsid w:val="00F20218"/>
    <w:rsid w:val="00F24D77"/>
    <w:rsid w:val="00F258EC"/>
    <w:rsid w:val="00F306F2"/>
    <w:rsid w:val="00F3163C"/>
    <w:rsid w:val="00F338B8"/>
    <w:rsid w:val="00F33E39"/>
    <w:rsid w:val="00F42565"/>
    <w:rsid w:val="00F426A6"/>
    <w:rsid w:val="00F46F2A"/>
    <w:rsid w:val="00F61B3B"/>
    <w:rsid w:val="00F7592B"/>
    <w:rsid w:val="00F82D33"/>
    <w:rsid w:val="00F83CE8"/>
    <w:rsid w:val="00F8563F"/>
    <w:rsid w:val="00F8665F"/>
    <w:rsid w:val="00F9019F"/>
    <w:rsid w:val="00F970BB"/>
    <w:rsid w:val="00FA4E1E"/>
    <w:rsid w:val="00FA6F39"/>
    <w:rsid w:val="00FB1C64"/>
    <w:rsid w:val="00FB251D"/>
    <w:rsid w:val="00FB5884"/>
    <w:rsid w:val="00FB6954"/>
    <w:rsid w:val="00FB72D1"/>
    <w:rsid w:val="00FB7FD4"/>
    <w:rsid w:val="00FC2060"/>
    <w:rsid w:val="00FC6095"/>
    <w:rsid w:val="00FC69A7"/>
    <w:rsid w:val="00FC75FC"/>
    <w:rsid w:val="00FD75F1"/>
    <w:rsid w:val="00FE0499"/>
    <w:rsid w:val="00FE0559"/>
    <w:rsid w:val="00FE0AD1"/>
    <w:rsid w:val="00FE485E"/>
    <w:rsid w:val="00FE531C"/>
    <w:rsid w:val="00FF0B0A"/>
    <w:rsid w:val="00FF230F"/>
    <w:rsid w:val="00FF3CB6"/>
    <w:rsid w:val="00FF4A5B"/>
    <w:rsid w:val="00FF53F8"/>
    <w:rsid w:val="00FF6F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aliases w:val="cap"/>
    <w:basedOn w:val="Normal"/>
    <w:next w:val="Normal"/>
    <w:link w:val="CaptionChar"/>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26B00"/>
    <w:rPr>
      <w:color w:val="0563C1" w:themeColor="hyperlink"/>
      <w:u w:val="single"/>
    </w:rPr>
  </w:style>
  <w:style w:type="table" w:styleId="GridTable2">
    <w:name w:val="Grid Table 2"/>
    <w:basedOn w:val="TableNormal"/>
    <w:uiPriority w:val="47"/>
    <w:rsid w:val="00840C1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840C1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
    <w:name w:val="Grid Table 5 Dark"/>
    <w:basedOn w:val="TableNormal"/>
    <w:uiPriority w:val="50"/>
    <w:rsid w:val="00840C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3">
    <w:name w:val="Grid Table 5 Dark Accent 3"/>
    <w:basedOn w:val="TableNormal"/>
    <w:uiPriority w:val="50"/>
    <w:rsid w:val="00840C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1">
    <w:name w:val="Grid Table 5 Dark Accent 1"/>
    <w:basedOn w:val="TableNormal"/>
    <w:uiPriority w:val="50"/>
    <w:rsid w:val="00840C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840C1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2D0198"/>
    <w:rPr>
      <w:rFonts w:ascii="Arial" w:hAnsi="Arial"/>
    </w:rPr>
  </w:style>
  <w:style w:type="table" w:styleId="ListTable2-Accent5">
    <w:name w:val="List Table 2 Accent 5"/>
    <w:basedOn w:val="TableNormal"/>
    <w:uiPriority w:val="47"/>
    <w:rsid w:val="004F4281"/>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NormalWeb">
    <w:name w:val="Normal (Web)"/>
    <w:basedOn w:val="Normal"/>
    <w:uiPriority w:val="99"/>
    <w:semiHidden/>
    <w:unhideWhenUsed/>
    <w:rsid w:val="00ED615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styleId="ListTable1Light-Accent1">
    <w:name w:val="List Table 1 Light Accent 1"/>
    <w:basedOn w:val="TableNormal"/>
    <w:uiPriority w:val="46"/>
    <w:rsid w:val="00D535AA"/>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PlainTable1">
    <w:name w:val="Plain Table 1"/>
    <w:basedOn w:val="TableNormal"/>
    <w:uiPriority w:val="41"/>
    <w:rsid w:val="00D535A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6Colorful-Accent5">
    <w:name w:val="Grid Table 6 Colorful Accent 5"/>
    <w:basedOn w:val="TableNormal"/>
    <w:uiPriority w:val="51"/>
    <w:rsid w:val="00D535AA"/>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aptionChar">
    <w:name w:val="Caption Char"/>
    <w:aliases w:val="cap Char"/>
    <w:link w:val="Caption"/>
    <w:rsid w:val="00B378A7"/>
    <w:rPr>
      <w:rFonts w:ascii="Arial" w:hAnsi="Arial"/>
      <w:b/>
    </w:rPr>
  </w:style>
  <w:style w:type="character" w:styleId="Emphasis">
    <w:name w:val="Emphasis"/>
    <w:basedOn w:val="DefaultParagraphFont"/>
    <w:qFormat/>
    <w:rsid w:val="00C778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700203342">
      <w:bodyDiv w:val="1"/>
      <w:marLeft w:val="0"/>
      <w:marRight w:val="0"/>
      <w:marTop w:val="0"/>
      <w:marBottom w:val="0"/>
      <w:divBdr>
        <w:top w:val="none" w:sz="0" w:space="0" w:color="auto"/>
        <w:left w:val="none" w:sz="0" w:space="0" w:color="auto"/>
        <w:bottom w:val="none" w:sz="0" w:space="0" w:color="auto"/>
        <w:right w:val="none" w:sz="0" w:space="0" w:color="auto"/>
      </w:divBdr>
    </w:div>
    <w:div w:id="840045975">
      <w:bodyDiv w:val="1"/>
      <w:marLeft w:val="0"/>
      <w:marRight w:val="0"/>
      <w:marTop w:val="0"/>
      <w:marBottom w:val="0"/>
      <w:divBdr>
        <w:top w:val="none" w:sz="0" w:space="0" w:color="auto"/>
        <w:left w:val="none" w:sz="0" w:space="0" w:color="auto"/>
        <w:bottom w:val="none" w:sz="0" w:space="0" w:color="auto"/>
        <w:right w:val="none" w:sz="0" w:space="0" w:color="auto"/>
      </w:divBdr>
    </w:div>
    <w:div w:id="1003583451">
      <w:bodyDiv w:val="1"/>
      <w:marLeft w:val="0"/>
      <w:marRight w:val="0"/>
      <w:marTop w:val="0"/>
      <w:marBottom w:val="0"/>
      <w:divBdr>
        <w:top w:val="none" w:sz="0" w:space="0" w:color="auto"/>
        <w:left w:val="none" w:sz="0" w:space="0" w:color="auto"/>
        <w:bottom w:val="none" w:sz="0" w:space="0" w:color="auto"/>
        <w:right w:val="none" w:sz="0" w:space="0" w:color="auto"/>
      </w:divBdr>
    </w:div>
    <w:div w:id="1100296671">
      <w:bodyDiv w:val="1"/>
      <w:marLeft w:val="0"/>
      <w:marRight w:val="0"/>
      <w:marTop w:val="0"/>
      <w:marBottom w:val="0"/>
      <w:divBdr>
        <w:top w:val="none" w:sz="0" w:space="0" w:color="auto"/>
        <w:left w:val="none" w:sz="0" w:space="0" w:color="auto"/>
        <w:bottom w:val="none" w:sz="0" w:space="0" w:color="auto"/>
        <w:right w:val="none" w:sz="0" w:space="0" w:color="auto"/>
      </w:divBdr>
    </w:div>
    <w:div w:id="1244292723">
      <w:bodyDiv w:val="1"/>
      <w:marLeft w:val="0"/>
      <w:marRight w:val="0"/>
      <w:marTop w:val="0"/>
      <w:marBottom w:val="0"/>
      <w:divBdr>
        <w:top w:val="none" w:sz="0" w:space="0" w:color="auto"/>
        <w:left w:val="none" w:sz="0" w:space="0" w:color="auto"/>
        <w:bottom w:val="none" w:sz="0" w:space="0" w:color="auto"/>
        <w:right w:val="none" w:sz="0" w:space="0" w:color="auto"/>
      </w:divBdr>
    </w:div>
    <w:div w:id="1267806369">
      <w:bodyDiv w:val="1"/>
      <w:marLeft w:val="0"/>
      <w:marRight w:val="0"/>
      <w:marTop w:val="0"/>
      <w:marBottom w:val="0"/>
      <w:divBdr>
        <w:top w:val="none" w:sz="0" w:space="0" w:color="auto"/>
        <w:left w:val="none" w:sz="0" w:space="0" w:color="auto"/>
        <w:bottom w:val="none" w:sz="0" w:space="0" w:color="auto"/>
        <w:right w:val="none" w:sz="0" w:space="0" w:color="auto"/>
      </w:divBdr>
    </w:div>
    <w:div w:id="1295021719">
      <w:bodyDiv w:val="1"/>
      <w:marLeft w:val="0"/>
      <w:marRight w:val="0"/>
      <w:marTop w:val="0"/>
      <w:marBottom w:val="0"/>
      <w:divBdr>
        <w:top w:val="none" w:sz="0" w:space="0" w:color="auto"/>
        <w:left w:val="none" w:sz="0" w:space="0" w:color="auto"/>
        <w:bottom w:val="none" w:sz="0" w:space="0" w:color="auto"/>
        <w:right w:val="none" w:sz="0" w:space="0" w:color="auto"/>
      </w:divBdr>
    </w:div>
    <w:div w:id="1405570121">
      <w:bodyDiv w:val="1"/>
      <w:marLeft w:val="0"/>
      <w:marRight w:val="0"/>
      <w:marTop w:val="0"/>
      <w:marBottom w:val="0"/>
      <w:divBdr>
        <w:top w:val="none" w:sz="0" w:space="0" w:color="auto"/>
        <w:left w:val="none" w:sz="0" w:space="0" w:color="auto"/>
        <w:bottom w:val="none" w:sz="0" w:space="0" w:color="auto"/>
        <w:right w:val="none" w:sz="0" w:space="0" w:color="auto"/>
      </w:divBdr>
    </w:div>
    <w:div w:id="1410734090">
      <w:bodyDiv w:val="1"/>
      <w:marLeft w:val="0"/>
      <w:marRight w:val="0"/>
      <w:marTop w:val="0"/>
      <w:marBottom w:val="0"/>
      <w:divBdr>
        <w:top w:val="none" w:sz="0" w:space="0" w:color="auto"/>
        <w:left w:val="none" w:sz="0" w:space="0" w:color="auto"/>
        <w:bottom w:val="none" w:sz="0" w:space="0" w:color="auto"/>
        <w:right w:val="none" w:sz="0" w:space="0" w:color="auto"/>
      </w:divBdr>
    </w:div>
    <w:div w:id="1464344093">
      <w:bodyDiv w:val="1"/>
      <w:marLeft w:val="0"/>
      <w:marRight w:val="0"/>
      <w:marTop w:val="0"/>
      <w:marBottom w:val="0"/>
      <w:divBdr>
        <w:top w:val="none" w:sz="0" w:space="0" w:color="auto"/>
        <w:left w:val="none" w:sz="0" w:space="0" w:color="auto"/>
        <w:bottom w:val="none" w:sz="0" w:space="0" w:color="auto"/>
        <w:right w:val="none" w:sz="0" w:space="0" w:color="auto"/>
      </w:divBdr>
    </w:div>
    <w:div w:id="1698964917">
      <w:bodyDiv w:val="1"/>
      <w:marLeft w:val="0"/>
      <w:marRight w:val="0"/>
      <w:marTop w:val="0"/>
      <w:marBottom w:val="0"/>
      <w:divBdr>
        <w:top w:val="none" w:sz="0" w:space="0" w:color="auto"/>
        <w:left w:val="none" w:sz="0" w:space="0" w:color="auto"/>
        <w:bottom w:val="none" w:sz="0" w:space="0" w:color="auto"/>
        <w:right w:val="none" w:sz="0" w:space="0" w:color="auto"/>
      </w:divBdr>
      <w:divsChild>
        <w:div w:id="2106030164">
          <w:marLeft w:val="1166"/>
          <w:marRight w:val="0"/>
          <w:marTop w:val="96"/>
          <w:marBottom w:val="0"/>
          <w:divBdr>
            <w:top w:val="none" w:sz="0" w:space="0" w:color="auto"/>
            <w:left w:val="none" w:sz="0" w:space="0" w:color="auto"/>
            <w:bottom w:val="none" w:sz="0" w:space="0" w:color="auto"/>
            <w:right w:val="none" w:sz="0" w:space="0" w:color="auto"/>
          </w:divBdr>
        </w:div>
        <w:div w:id="1589540518">
          <w:marLeft w:val="1166"/>
          <w:marRight w:val="0"/>
          <w:marTop w:val="96"/>
          <w:marBottom w:val="0"/>
          <w:divBdr>
            <w:top w:val="none" w:sz="0" w:space="0" w:color="auto"/>
            <w:left w:val="none" w:sz="0" w:space="0" w:color="auto"/>
            <w:bottom w:val="none" w:sz="0" w:space="0" w:color="auto"/>
            <w:right w:val="none" w:sz="0" w:space="0" w:color="auto"/>
          </w:divBdr>
        </w:div>
      </w:divsChild>
    </w:div>
    <w:div w:id="181818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customXml" Target="../customXml/item2.xml"/><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0056b5a17ee4177952a0243d3705a30 xmlns="81c2d00d-6e98-4ecf-9fde-812538fb8530">
      <Terms xmlns="http://schemas.microsoft.com/office/infopath/2007/PartnerControls"/>
    </c0056b5a17ee4177952a0243d3705a30>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documentManagement>
</p:properties>
</file>

<file path=customXml/itemProps1.xml><?xml version="1.0" encoding="utf-8"?>
<ds:datastoreItem xmlns:ds="http://schemas.openxmlformats.org/officeDocument/2006/customXml" ds:itemID="{D6B95C7C-47FB-4EA1-9F02-A2674C6DC5C3}"/>
</file>

<file path=customXml/itemProps2.xml><?xml version="1.0" encoding="utf-8"?>
<ds:datastoreItem xmlns:ds="http://schemas.openxmlformats.org/officeDocument/2006/customXml" ds:itemID="{B544FA72-0629-406C-980D-642BA76494A5}"/>
</file>

<file path=customXml/itemProps3.xml><?xml version="1.0" encoding="utf-8"?>
<ds:datastoreItem xmlns:ds="http://schemas.openxmlformats.org/officeDocument/2006/customXml" ds:itemID="{80964ACB-81C5-461E-BCDD-99AD7D408E97}"/>
</file>

<file path=customXml/itemProps4.xml><?xml version="1.0" encoding="utf-8"?>
<ds:datastoreItem xmlns:ds="http://schemas.openxmlformats.org/officeDocument/2006/customXml" ds:itemID="{9159350B-5347-434C-99A9-7EB9EAD215BF}"/>
</file>

<file path=docProps/app.xml><?xml version="1.0" encoding="utf-8"?>
<Properties xmlns="http://schemas.openxmlformats.org/officeDocument/2006/extended-properties" xmlns:vt="http://schemas.openxmlformats.org/officeDocument/2006/docPropsVTypes">
  <Template>Normal.dotm</Template>
  <TotalTime>0</TotalTime>
  <Pages>11</Pages>
  <Words>5020</Words>
  <Characters>28617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2018-09-27T07:58:00Z</dcterms:created>
  <dcterms:modified xsi:type="dcterms:W3CDTF">2018-11-02T12:17:00Z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-315586737</vt:i4>
  </property>
  <property fmtid="{D5CDD505-2E9C-101B-9397-08002B2CF9AE}" pid="4" name="_ReviewingToolsShownOnce">
    <vt:lpwstr/>
  </property>
  <property fmtid="{D5CDD505-2E9C-101B-9397-08002B2CF9AE}" pid="5" name="Document_x0020_Type">
    <vt:lpwstr/>
  </property>
  <property fmtid="{D5CDD505-2E9C-101B-9397-08002B2CF9AE}" pid="7" name="Technical_x0020_Type">
    <vt:lpwstr/>
  </property>
  <property fmtid="{D5CDD505-2E9C-101B-9397-08002B2CF9AE}" pid="8" name="ContentTypeId">
    <vt:lpwstr>0x010100186942121D0D154CBD2D3F76445276D6</vt:lpwstr>
  </property>
  <property fmtid="{D5CDD505-2E9C-101B-9397-08002B2CF9AE}" pid="9" name="Technical Type">
    <vt:lpwstr/>
  </property>
  <property fmtid="{D5CDD505-2E9C-101B-9397-08002B2CF9AE}" pid="10" name="Document Type">
    <vt:lpwstr/>
  </property>
</Properties>
</file>